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2250B">
      <w:pPr>
        <w:pStyle w:val="electron-p"/>
        <w:spacing w:after="280" w:afterAutospacing="1"/>
      </w:pPr>
      <w:r>
        <w:t>Электронный журнал</w:t>
      </w:r>
    </w:p>
    <w:p w:rsidR="00000000" w:rsidRDefault="00734E8D">
      <w:pPr>
        <w:spacing w:after="280" w:afterAutospacing="1"/>
      </w:pPr>
      <w:r>
        <w:rPr>
          <w:noProof/>
        </w:rPr>
        <w:drawing>
          <wp:inline distT="0" distB="0" distL="0" distR="0">
            <wp:extent cx="2095500" cy="304800"/>
            <wp:effectExtent l="19050" t="0" r="0" b="0"/>
            <wp:docPr id="7" name="Рисунок 7" descr="Электронный журнал «Справочник специалиста по охране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лектронный журнал «Справочник специалиста по охране труда»"/>
                    <pic:cNvPicPr>
                      <a:picLocks noChangeAspect="1" noChangeArrowheads="1"/>
                    </pic:cNvPicPr>
                  </pic:nvPicPr>
                  <pic:blipFill>
                    <a:blip r:embed="rId4"/>
                    <a:srcRect/>
                    <a:stretch>
                      <a:fillRect/>
                    </a:stretch>
                  </pic:blipFill>
                  <pic:spPr bwMode="auto">
                    <a:xfrm>
                      <a:off x="0" y="0"/>
                      <a:ext cx="2095500" cy="304800"/>
                    </a:xfrm>
                    <a:prstGeom prst="rect">
                      <a:avLst/>
                    </a:prstGeom>
                    <a:noFill/>
                    <a:ln w="9525">
                      <a:noFill/>
                      <a:miter lim="800000"/>
                      <a:headEnd/>
                      <a:tailEnd/>
                    </a:ln>
                  </pic:spPr>
                </pic:pic>
              </a:graphicData>
            </a:graphic>
          </wp:inline>
        </w:drawing>
      </w:r>
    </w:p>
    <w:p w:rsidR="00000000" w:rsidRDefault="0052250B">
      <w:pPr>
        <w:spacing w:after="280" w:afterAutospacing="1"/>
      </w:pPr>
      <w:r>
        <w:t>Медицинские осмотры / надзор и контроль</w:t>
      </w:r>
    </w:p>
    <w:p w:rsidR="00000000" w:rsidRDefault="0052250B">
      <w:pPr>
        <w:spacing w:after="280" w:afterAutospacing="1"/>
      </w:pPr>
      <w:r>
        <w:rPr>
          <w:b/>
          <w:bCs/>
        </w:rPr>
        <w:t>3 частых нарушения в медосмотрах на основе проверок ГИТ</w:t>
      </w:r>
    </w:p>
    <w:p w:rsidR="00000000" w:rsidRDefault="0052250B">
      <w:pPr>
        <w:spacing w:after="280" w:afterAutospacing="1"/>
      </w:pPr>
      <w:r>
        <w:rPr>
          <w:b/>
          <w:bCs/>
        </w:rPr>
        <w:t>Андрей ТЕТЮШЕВ</w:t>
      </w:r>
      <w:r>
        <w:br/>
        <w:t xml:space="preserve">заместитель руководителя Государственной инспекции труда в Пензенской области по охране труда </w:t>
      </w:r>
    </w:p>
    <w:p w:rsidR="00000000" w:rsidRDefault="0052250B">
      <w:pPr>
        <w:spacing w:after="280" w:afterAutospacing="1"/>
      </w:pPr>
      <w:r>
        <w:t>Непроведение обязательно</w:t>
      </w:r>
      <w:r>
        <w:t>го предварительного, периодического медосмотра и психиатрического освидетельствования — одно из самых распространенных нарушений, которое выявляют инспекторы ГИТ. Проверки показывают, что на многих предприятиях о медицинских осмотрах давно забыли. Такое от</w:t>
      </w:r>
      <w:r>
        <w:t>ношение к здоровью сотрудников приводит не только к штрафам, но и серьезным несчастным случаям на производстве. О ситуациях, с которыми сталкиваются проверяющие, рассказал Андрей Тетюшев, заместитель руководителя Государственной инспекции труда в Пензенско</w:t>
      </w:r>
      <w:r>
        <w:t>й области.</w:t>
      </w:r>
    </w:p>
    <w:p w:rsidR="00000000" w:rsidRDefault="0052250B">
      <w:pPr>
        <w:pStyle w:val="2"/>
        <w:spacing w:after="280" w:afterAutospacing="1"/>
      </w:pPr>
      <w:r>
        <w:t>Нарушение 1. Сотрудников не направляют на периодические медосмотры</w:t>
      </w:r>
    </w:p>
    <w:p w:rsidR="00000000" w:rsidRDefault="0052250B"/>
    <w:p w:rsidR="00000000" w:rsidRDefault="0052250B">
      <w:pPr>
        <w:spacing w:after="280" w:afterAutospacing="1"/>
      </w:pPr>
      <w:r>
        <w:t>Работодатели часто забывают, что есть виды работ,</w:t>
      </w:r>
      <w:r>
        <w:t xml:space="preserve"> к которым можно допускать далеко не всех сотрудников. Например, работы на высоте. Их выполняют почти на каждом втором предприятии. Допустить к ним работника можно, только если у него нет медицинских противопоказаний (</w:t>
      </w:r>
      <w:r>
        <w:rPr>
          <w:rStyle w:val="Spanlink"/>
          <w:u w:val="single"/>
        </w:rPr>
        <w:t>п. 1</w:t>
      </w:r>
      <w:r>
        <w:t xml:space="preserve"> приложения 2, утв. приказом Минзд</w:t>
      </w:r>
      <w:r>
        <w:t>равсоцразвития от 12.04.2011 № 302н). Такой сотрудник обязан пройти обязательный предварительный медосмотр и 1 раз в год периодические медосмотры. Если пренебречь этими требованиями, непригодный для такой работы сотрудник может получить производственную тр</w:t>
      </w:r>
      <w:r>
        <w:t xml:space="preserve">авму или погибнуть в результате несчастного случая.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52250B">
            <w:pPr>
              <w:pStyle w:val="example-p"/>
              <w:spacing w:after="280" w:afterAutospacing="1"/>
            </w:pPr>
            <w:r>
              <w:rPr>
                <w:b/>
                <w:bCs/>
              </w:rPr>
              <w:t xml:space="preserve">История реальной проверки ГИТ. </w:t>
            </w:r>
            <w:r>
              <w:t>На одном из предприятий жилищно-коммунального хозяйства города Пензы пострадал работник. Он забрался на стремянку, чтобы поменять перегоревшую лампочку, упал и получил тяже</w:t>
            </w:r>
            <w:r>
              <w:t xml:space="preserve">лую травму головы. В ходе расследования </w:t>
            </w:r>
            <w:r>
              <w:lastRenderedPageBreak/>
              <w:t>выяснилось, что пострадавший не проходил медицинский осмотр. Работодатель не знал, что у сотрудника было прямое противопоказание к работам на высоте — мужчина долгое время страдал гипертонической болезнью, у него час</w:t>
            </w:r>
            <w:r>
              <w:t xml:space="preserve">то возникали резкие скачки давления. Подъем на стремянку спровоцировал у пострадавшего гипертонический криз, что и стало причиной падения на бетонный пол. </w:t>
            </w:r>
          </w:p>
          <w:p w:rsidR="00000000" w:rsidRDefault="0052250B">
            <w:pPr>
              <w:pStyle w:val="example-p"/>
              <w:spacing w:after="280" w:afterAutospacing="1"/>
            </w:pPr>
            <w:r>
              <w:t>Государственная инспекция труда провела на предприятии внеплановую проверку. Инспектор запросил у ру</w:t>
            </w:r>
            <w:r>
              <w:t>ководителя документы, которые подтверждают, что с работниками провели медосмотры:</w:t>
            </w:r>
            <w:r>
              <w:br/>
              <w:t>– договор с лечебным учреждением на проведение медосмотров;</w:t>
            </w:r>
            <w:r>
              <w:br/>
              <w:t>– утвержденный список контингентов, подлежащих предварительным и периодическим медосмотрам;</w:t>
            </w:r>
            <w:r>
              <w:br/>
              <w:t>– поименный список раб</w:t>
            </w:r>
            <w:r>
              <w:t>отников, подлежащих прохождению предварительного и периодического медосмотра;</w:t>
            </w:r>
            <w:r>
              <w:br/>
              <w:t>– журнал учета выдачи направлений, выданных работникам, подлежащим предварительным и периодическим медосмотрам;</w:t>
            </w:r>
            <w:r>
              <w:br/>
              <w:t>– заключительный акт, составленный и утвержденный медицинской орга</w:t>
            </w:r>
            <w:r>
              <w:t>низацией по результатам медосмотра;</w:t>
            </w:r>
            <w:r>
              <w:br/>
              <w:t xml:space="preserve">– заключения по результатам предварительного, периодического медосмотра. </w:t>
            </w:r>
          </w:p>
          <w:p w:rsidR="00000000" w:rsidRDefault="0052250B">
            <w:pPr>
              <w:pStyle w:val="example-p"/>
              <w:spacing w:after="280" w:afterAutospacing="1"/>
            </w:pPr>
            <w:r>
              <w:t xml:space="preserve">Ни один из запрошенных документов работодатель представить не смог. Инспектор ГИТ установил, что работодатель медосмотры не проводил (ст. </w:t>
            </w:r>
            <w:r>
              <w:rPr>
                <w:rStyle w:val="Spanlink"/>
                <w:u w:val="single"/>
              </w:rPr>
              <w:t>212</w:t>
            </w:r>
            <w:r>
              <w:t xml:space="preserve">, </w:t>
            </w:r>
            <w:r>
              <w:rPr>
                <w:rStyle w:val="Spanlink"/>
                <w:u w:val="single"/>
              </w:rPr>
              <w:t>213</w:t>
            </w:r>
            <w:r>
              <w:t xml:space="preserve"> ТК). </w:t>
            </w:r>
          </w:p>
          <w:p w:rsidR="00000000" w:rsidRDefault="0052250B">
            <w:pPr>
              <w:pStyle w:val="example-p"/>
            </w:pPr>
            <w:r>
              <w:t>За нарушение трудового законодательства юридическое лицо и работодателя привлекли к административной ответственности (</w:t>
            </w:r>
            <w:r>
              <w:rPr>
                <w:rStyle w:val="Spanlink"/>
                <w:u w:val="single"/>
              </w:rPr>
              <w:t>ч. 3 ст. 5.27.1</w:t>
            </w:r>
            <w:r>
              <w:t xml:space="preserve"> КоАП). Компанию оштрафовали на 120 000 рублей, руководителя организации как должностное лицо — на 20 000 рублей. Вс</w:t>
            </w:r>
            <w:r>
              <w:t xml:space="preserve">ех работников, которые не прошли обязательный предварительный или периодический медосмотры, инспектор отстранил от работы до их прохождения. </w:t>
            </w:r>
          </w:p>
        </w:tc>
      </w:tr>
    </w:tbl>
    <w:p w:rsidR="00000000" w:rsidRDefault="0052250B"/>
    <w:p w:rsidR="00000000" w:rsidRDefault="0052250B">
      <w:pPr>
        <w:pStyle w:val="2"/>
        <w:spacing w:after="280" w:afterAutospacing="1"/>
      </w:pPr>
      <w:r>
        <w:t xml:space="preserve">Нарушение 2. Психиатрическое освидетельствование заменяют на заключение психиатра врачебной комиссии </w:t>
      </w:r>
    </w:p>
    <w:p w:rsidR="00000000" w:rsidRDefault="0052250B"/>
    <w:p w:rsidR="00000000" w:rsidRDefault="0052250B">
      <w:pPr>
        <w:spacing w:after="280" w:afterAutospacing="1"/>
      </w:pPr>
      <w:r>
        <w:lastRenderedPageBreak/>
        <w:t>Многие работодатели не направляют на психиатрическое освидетельствование сотрудников. Они счит</w:t>
      </w:r>
      <w:r>
        <w:t>ают, что психиатры, которые входят в водительские комиссии и комиссии обязательных медосмотров, могут заменить полноценное психиатрическое освидетельствование. Это еще одно нарушение, с которым во время проверок часто сталкиваются инспекторы ГИТ. По закону</w:t>
      </w:r>
      <w:r>
        <w:t xml:space="preserve"> на психиатрическое освидетельствование необходимо направлять сотрудников, работа которых связана с источниками повышенной опасности, воздействием вредных и опасных производственных факторов, движением транспорта (</w:t>
      </w:r>
      <w:r>
        <w:rPr>
          <w:rStyle w:val="Spanlink"/>
          <w:u w:val="single"/>
        </w:rPr>
        <w:t xml:space="preserve">постановление Правительства от 28.04.1993 </w:t>
      </w:r>
      <w:r>
        <w:rPr>
          <w:rStyle w:val="Spanlink"/>
          <w:u w:val="single"/>
        </w:rPr>
        <w:t>№ 377</w:t>
      </w:r>
      <w:r>
        <w:t xml:space="preserve">). Делать это нужно не реже чем раз в пять лет. </w:t>
      </w:r>
    </w:p>
    <w:p w:rsidR="00000000" w:rsidRDefault="0052250B">
      <w:pPr>
        <w:spacing w:after="280" w:afterAutospacing="1"/>
      </w:pPr>
      <w:r>
        <w:t>Однако обычный врач-психиатр из комиссии при проведении медицинского осмотра не может заменить психиатрическое освидетельствование, во время которого специальная комиссия врачей-психиатров проводит диаг</w:t>
      </w:r>
      <w:r>
        <w:t xml:space="preserve">ностику, в том числе с помощью энцефалографии.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52250B">
            <w:pPr>
              <w:pStyle w:val="example-p"/>
              <w:spacing w:after="280" w:afterAutospacing="1"/>
            </w:pPr>
            <w:r>
              <w:rPr>
                <w:b/>
                <w:bCs/>
              </w:rPr>
              <w:t xml:space="preserve">История реальной проверки ГИТ. </w:t>
            </w:r>
            <w:r>
              <w:t>Инспектор ГИТ по жалобе работника пришел с внеплановой выездной проверкой на предприятие, которое занимается пассажирскими перевозками. Он запросил у работодателя документы, кот</w:t>
            </w:r>
            <w:r>
              <w:t>орые подтверждают, что водители прошли психиатрическое освидетельствование:</w:t>
            </w:r>
            <w:r>
              <w:br/>
              <w:t>– договор с медицинским учреждением, имеющим право проводить психиатрическое освидетельствование;</w:t>
            </w:r>
            <w:r>
              <w:br/>
              <w:t>– направление работодателя на психиатрическое освидетельствование;</w:t>
            </w:r>
            <w:r>
              <w:br/>
              <w:t>– заключение вр</w:t>
            </w:r>
            <w:r>
              <w:t xml:space="preserve">ачебной комиссии по итогам освидетельствования. </w:t>
            </w:r>
          </w:p>
          <w:p w:rsidR="00000000" w:rsidRDefault="0052250B">
            <w:pPr>
              <w:pStyle w:val="example-p"/>
              <w:spacing w:after="280" w:afterAutospacing="1"/>
            </w:pPr>
            <w:r>
              <w:t xml:space="preserve">Вместо них инспектору предъявили заключения по результатам периодического медицинского осмотра сотрудников и справки о прохождении медицинского осмотра при получении водительского удостоверения. </w:t>
            </w:r>
          </w:p>
          <w:p w:rsidR="00000000" w:rsidRDefault="0052250B">
            <w:pPr>
              <w:pStyle w:val="example-p"/>
              <w:spacing w:after="280" w:afterAutospacing="1"/>
            </w:pPr>
            <w:r>
              <w:t>Проверяющий</w:t>
            </w:r>
            <w:r>
              <w:t xml:space="preserve"> объяснил директору, что эти документы не являются равноценными и не заменяют друг друга. Даже если работника во время периодического медосмотра осматривал врач-психиатр, он обязан пройти и психиатрическое освидетельствование. </w:t>
            </w:r>
          </w:p>
          <w:p w:rsidR="00000000" w:rsidRDefault="0052250B">
            <w:pPr>
              <w:pStyle w:val="example-p"/>
              <w:spacing w:after="280" w:afterAutospacing="1"/>
            </w:pPr>
            <w:r>
              <w:t>Инспектор ГИТ отстранил от р</w:t>
            </w:r>
            <w:r>
              <w:t>аботы всех водителей, не прошедших освидетельствование и привлек предприятие и работодателя к административной ответственности (</w:t>
            </w:r>
            <w:r>
              <w:rPr>
                <w:rStyle w:val="Spanlink"/>
                <w:u w:val="single"/>
              </w:rPr>
              <w:t>ч. 3 ст. 5.27.1</w:t>
            </w:r>
            <w:r>
              <w:t xml:space="preserve"> КоАП). </w:t>
            </w:r>
          </w:p>
          <w:p w:rsidR="00000000" w:rsidRDefault="0052250B">
            <w:pPr>
              <w:pStyle w:val="example-p"/>
            </w:pPr>
            <w:r>
              <w:t>Юридическое лицо оштрафовали на 110 000 рублей, директора организации как должностное лицо на 15 000 руб</w:t>
            </w:r>
            <w:r>
              <w:t xml:space="preserve">лей. </w:t>
            </w:r>
          </w:p>
        </w:tc>
      </w:tr>
    </w:tbl>
    <w:p w:rsidR="00000000" w:rsidRDefault="0052250B"/>
    <w:p w:rsidR="00000000" w:rsidRDefault="0052250B"/>
    <w:p w:rsidR="00000000" w:rsidRDefault="0052250B">
      <w:pPr>
        <w:spacing w:after="280" w:afterAutospacing="1"/>
      </w:pPr>
      <w:r>
        <w:lastRenderedPageBreak/>
        <w:t>Некоторые работодатели сталкиваются со сложной ситуацией, когда комиссия во время психиатрического освид</w:t>
      </w:r>
      <w:r>
        <w:t xml:space="preserve">етельствования выявляет у сотрудника психическое расстройство и врачебная комиссия выдает отрицательное заключение. В этом случае допускать такого человека к работе нельзя. Необходимо издать приказ и отстранить сотрудника от работы. </w:t>
      </w:r>
    </w:p>
    <w:p w:rsidR="00000000" w:rsidRDefault="0052250B">
      <w:pPr>
        <w:spacing w:after="280" w:afterAutospacing="1"/>
      </w:pPr>
      <w:r>
        <w:t>Отстраненного сотрудни</w:t>
      </w:r>
      <w:r>
        <w:t>ка нельзя допускать к работе, пока психиатрическая комиссия вновь не признает человека пригодным к выполнению его трудовых обязанностей. Зарплату за это время не начисляют. Вы можете перевести работника на другую работу, которая не противопоказана ему по с</w:t>
      </w:r>
      <w:r>
        <w:t>остоянию здоровья (</w:t>
      </w:r>
      <w:r>
        <w:rPr>
          <w:rStyle w:val="Spanlink"/>
          <w:u w:val="single"/>
        </w:rPr>
        <w:t>ст. 73</w:t>
      </w:r>
      <w:r>
        <w:t xml:space="preserve"> ТК). Если такой работы в компании нет или работник отказывается от предложенного варианта, его по закону можно уволить (</w:t>
      </w:r>
      <w:r>
        <w:rPr>
          <w:rStyle w:val="Spanlink"/>
          <w:u w:val="single"/>
        </w:rPr>
        <w:t>п. 8 ч. 1 ст. 77</w:t>
      </w:r>
      <w:r>
        <w:t xml:space="preserve"> ТК). </w:t>
      </w:r>
    </w:p>
    <w:p w:rsidR="00000000" w:rsidRDefault="0052250B">
      <w:pPr>
        <w:spacing w:after="280" w:afterAutospacing="1"/>
      </w:pPr>
      <w:r>
        <w:t>Когда психиатрическое освидетельствование или медосмотр работник не прошел по вине рабо</w:t>
      </w:r>
      <w:r>
        <w:t>тодателя, его также отстраняют от работы, но в этом случае будет простой по вине работодателя. Это время работнику нужно оплачивать в размере не менее двух третей средней заработной платы (</w:t>
      </w:r>
      <w:r>
        <w:rPr>
          <w:rStyle w:val="Spanlink"/>
          <w:u w:val="single"/>
        </w:rPr>
        <w:t>ст. 157</w:t>
      </w:r>
      <w:r>
        <w:t xml:space="preserve"> ТК).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150" w:type="dxa"/>
              <w:right w:w="330" w:type="dxa"/>
            </w:tcMar>
            <w:vAlign w:val="center"/>
          </w:tcPr>
          <w:p w:rsidR="00000000" w:rsidRDefault="0052250B">
            <w:pPr>
              <w:pStyle w:val="H3inline-h3"/>
              <w:spacing w:after="280" w:afterAutospacing="1"/>
            </w:pPr>
            <w:r>
              <w:t>КОММЕНТАРИЙ РЕДАКЦИИ</w:t>
            </w:r>
          </w:p>
          <w:p w:rsidR="00000000" w:rsidRDefault="0052250B">
            <w:pPr>
              <w:pStyle w:val="4"/>
              <w:spacing w:after="280" w:afterAutospacing="1"/>
            </w:pPr>
            <w:r>
              <w:t>Где проводить психиатрическое ос</w:t>
            </w:r>
            <w:r>
              <w:t>видетельствование</w:t>
            </w:r>
          </w:p>
          <w:p w:rsidR="00000000" w:rsidRDefault="0052250B">
            <w:pPr>
              <w:pStyle w:val="inline-p"/>
              <w:spacing w:after="280" w:afterAutospacing="1"/>
            </w:pPr>
            <w:r>
              <w:t xml:space="preserve">На сегодняшний день проводить психиатрическое освидетельствование могут только государственные медицинские учреждения. Но вскоре это может измениться. </w:t>
            </w:r>
          </w:p>
          <w:p w:rsidR="00000000" w:rsidRDefault="0052250B">
            <w:pPr>
              <w:pStyle w:val="inline-p"/>
            </w:pPr>
            <w:r>
              <w:t>Правительство направило в Госдуму законопроект, который внесет поправки в правила псих</w:t>
            </w:r>
            <w:r>
              <w:t xml:space="preserve">иатрического освидетельствования работников. Чиновники предлагают разрешить проводить процедуру психиатрического освидетельствования частным медицинским организациям. </w:t>
            </w:r>
          </w:p>
        </w:tc>
      </w:tr>
    </w:tbl>
    <w:p w:rsidR="00000000" w:rsidRDefault="0052250B"/>
    <w:p w:rsidR="00000000" w:rsidRDefault="0052250B">
      <w:pPr>
        <w:pStyle w:val="2"/>
        <w:spacing w:after="280" w:afterAutospacing="1"/>
      </w:pPr>
      <w:r>
        <w:lastRenderedPageBreak/>
        <w:t>Нарушение 3. Работодатель направляет работников на медосмотр за их счет и не оплачивае</w:t>
      </w:r>
      <w:r>
        <w:t xml:space="preserve">т им эти расходы </w:t>
      </w:r>
    </w:p>
    <w:p w:rsidR="00000000" w:rsidRDefault="0052250B">
      <w:pPr>
        <w:spacing w:after="280" w:afterAutospacing="1"/>
      </w:pPr>
      <w:r>
        <w:t xml:space="preserve">Инспекторы часто сталкиваются с нарушением, когда компания не оплачивает сотрудникам медицинские осмотры или делает это задним числом. Обычно такую информацию указывают в своей жалобе работники и направляют ее в ГИТ. </w:t>
      </w:r>
    </w:p>
    <w:p w:rsidR="00000000" w:rsidRDefault="0052250B">
      <w:pPr>
        <w:spacing w:after="280" w:afterAutospacing="1"/>
      </w:pPr>
      <w:r>
        <w:t>По закону компенсиро</w:t>
      </w:r>
      <w:r>
        <w:t xml:space="preserve">вать все расходы работников при прохождении медосмотров и психиатрических освидетельствований обязан работодатель (ст. </w:t>
      </w:r>
      <w:r>
        <w:rPr>
          <w:rStyle w:val="Spanlink"/>
          <w:u w:val="single"/>
        </w:rPr>
        <w:t>212</w:t>
      </w:r>
      <w:r>
        <w:t xml:space="preserve">, </w:t>
      </w:r>
      <w:r>
        <w:rPr>
          <w:rStyle w:val="Spanlink"/>
          <w:u w:val="single"/>
        </w:rPr>
        <w:t>213</w:t>
      </w:r>
      <w:r>
        <w:t xml:space="preserve"> ТК и </w:t>
      </w:r>
      <w:r>
        <w:rPr>
          <w:rStyle w:val="Spanlink"/>
          <w:u w:val="single"/>
        </w:rPr>
        <w:t>приказ Минздравсоцразвития от 12.04.2011 № 302н</w:t>
      </w:r>
      <w:r>
        <w:t>). Если он не соблюдает это требование и перекладывает оплату на сотрудника,</w:t>
      </w:r>
      <w:r>
        <w:t xml:space="preserve"> инспектор выдает предписание об устранении нарушения или привлекает к административной ответственности (</w:t>
      </w:r>
      <w:r>
        <w:rPr>
          <w:rStyle w:val="Spanlink"/>
          <w:u w:val="single"/>
        </w:rPr>
        <w:t>ч. 1</w:t>
      </w:r>
      <w:r>
        <w:t xml:space="preserve"> и </w:t>
      </w:r>
      <w:r>
        <w:rPr>
          <w:rStyle w:val="Spanlink"/>
          <w:u w:val="single"/>
        </w:rPr>
        <w:t>ч. 3</w:t>
      </w:r>
      <w:r>
        <w:t xml:space="preserve"> ст. 5.27.1 КоАП).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52250B">
            <w:pPr>
              <w:pStyle w:val="example-p"/>
              <w:spacing w:after="280" w:afterAutospacing="1"/>
            </w:pPr>
            <w:r>
              <w:rPr>
                <w:b/>
                <w:bCs/>
              </w:rPr>
              <w:t xml:space="preserve">История реальной проверки ГИТ. </w:t>
            </w:r>
            <w:r>
              <w:t>На основании поступившей жалобы инспектор ГИТ провел проверку на одном из предприятий ЖКХ</w:t>
            </w:r>
            <w:r>
              <w:t>. В жалобе работники указали, что работодатель не возместил понесенные ими расходы на прохождение медицинского осмотра. Инспектор во время проверки подтвердил правдивость жалобы. Работодатель не стал отрицать, что он не компенсировал работникам потраченные</w:t>
            </w:r>
            <w:r>
              <w:t xml:space="preserve"> деньги. </w:t>
            </w:r>
          </w:p>
          <w:p w:rsidR="00000000" w:rsidRDefault="0052250B">
            <w:pPr>
              <w:pStyle w:val="example-p"/>
            </w:pPr>
            <w:r>
              <w:t>По итогам проверки инспектор ГИТ обязал руководителя предприятия компенсировать понесенные сотрудниками расходы в полном объеме. За допущенное нарушение юридическое лицо оштрафовали на 110 000 рублей, директора на 15 000 рублей (</w:t>
            </w:r>
            <w:r>
              <w:rPr>
                <w:rStyle w:val="Spanlink"/>
                <w:u w:val="single"/>
              </w:rPr>
              <w:t>ч. 3 ст. 5.27.1</w:t>
            </w:r>
            <w:r>
              <w:t xml:space="preserve"> К</w:t>
            </w:r>
            <w:r>
              <w:t xml:space="preserve">оАП). </w:t>
            </w:r>
          </w:p>
        </w:tc>
      </w:tr>
    </w:tbl>
    <w:p w:rsidR="00000000" w:rsidRDefault="0052250B"/>
    <w:p w:rsidR="00000000" w:rsidRDefault="0052250B">
      <w:pPr>
        <w:pStyle w:val="2"/>
        <w:spacing w:after="280" w:afterAutospacing="1"/>
      </w:pPr>
      <w:r>
        <w:lastRenderedPageBreak/>
        <w:t xml:space="preserve">Памятка </w:t>
      </w:r>
    </w:p>
    <w:p w:rsidR="00000000" w:rsidRDefault="00734E8D">
      <w:pPr>
        <w:spacing w:after="280" w:afterAutospacing="1"/>
      </w:pPr>
      <w:r>
        <w:rPr>
          <w:noProof/>
        </w:rPr>
        <w:drawing>
          <wp:inline distT="0" distB="0" distL="0" distR="0">
            <wp:extent cx="5153025" cy="645795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5153025" cy="6457950"/>
                    </a:xfrm>
                    <a:prstGeom prst="rect">
                      <a:avLst/>
                    </a:prstGeom>
                    <a:noFill/>
                    <a:ln w="9525">
                      <a:noFill/>
                      <a:miter lim="800000"/>
                      <a:headEnd/>
                      <a:tailEnd/>
                    </a:ln>
                  </pic:spPr>
                </pic:pic>
              </a:graphicData>
            </a:graphic>
          </wp:inline>
        </w:drawing>
      </w:r>
    </w:p>
    <w:p w:rsidR="0052250B" w:rsidRDefault="0052250B">
      <w:pPr>
        <w:spacing w:after="280" w:afterAutospacing="1"/>
      </w:pPr>
      <w:r>
        <w:t xml:space="preserve">  </w:t>
      </w:r>
    </w:p>
    <w:sectPr w:rsidR="0052250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77B3E"/>
    <w:rsid w:val="0052250B"/>
    <w:rsid w:val="00734E8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good-text">
    <w:name w:val="good-text"/>
    <w:basedOn w:val="a"/>
    <w:rPr>
      <w:color w:val="1F7D1F"/>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bad-text">
    <w:name w:val="bad-text"/>
    <w:basedOn w:val="a"/>
    <w:rPr>
      <w:color w:val="BF0000"/>
    </w:rPr>
  </w:style>
  <w:style w:type="paragraph" w:customStyle="1" w:styleId="normal-text">
    <w:name w:val="normal-text"/>
    <w:basedOn w:val="a"/>
    <w:rPr>
      <w:color w:val="D17411"/>
    </w:rPr>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paragraph" w:customStyle="1" w:styleId="H3remark-h3">
    <w:name w:val="H3_remark-h3"/>
    <w:basedOn w:val="3"/>
    <w:pPr>
      <w:spacing w:before="0" w:after="0" w:line="270" w:lineRule="atLeast"/>
    </w:pPr>
    <w:rPr>
      <w:sz w:val="22"/>
      <w:szCs w:val="22"/>
    </w:rPr>
  </w:style>
  <w:style w:type="character" w:customStyle="1" w:styleId="Spanlink">
    <w:name w:val="Span_link"/>
    <w:basedOn w:val="a0"/>
    <w:rPr>
      <w:color w:val="008200"/>
    </w:rPr>
  </w:style>
  <w:style w:type="paragraph" w:customStyle="1" w:styleId="H3inline-h3">
    <w:name w:val="H3_inline-h3"/>
    <w:basedOn w:val="3"/>
    <w:pPr>
      <w:spacing w:before="0" w:after="180"/>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2018-07-03T07:16:00Z</dcterms:created>
  <dcterms:modified xsi:type="dcterms:W3CDTF">2018-07-03T07:16:00Z</dcterms:modified>
</cp:coreProperties>
</file>