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F26AE0">
      <w:pPr>
        <w:pStyle w:val="electron-p"/>
        <w:spacing w:after="280" w:afterAutospacing="1"/>
      </w:pPr>
      <w:r>
        <w:t>Электронный журнал</w:t>
      </w:r>
    </w:p>
    <w:p w:rsidR="00000000" w:rsidRDefault="00F26AE0">
      <w:pPr>
        <w:spacing w:after="280" w:afterAutospacing="1"/>
      </w:pPr>
      <w:r>
        <w:t>Обучение по охране труда / кабинет по охране труда</w:t>
      </w:r>
    </w:p>
    <w:p w:rsidR="00000000" w:rsidRDefault="00F26AE0">
      <w:pPr>
        <w:spacing w:after="280" w:afterAutospacing="1"/>
      </w:pPr>
      <w:r>
        <w:rPr>
          <w:b/>
          <w:bCs/>
        </w:rPr>
        <w:t>Кабинет по охране труда: оборудуем по всем правилам</w:t>
      </w:r>
    </w:p>
    <w:p w:rsidR="00000000" w:rsidRDefault="00F26AE0">
      <w:pPr>
        <w:spacing w:after="280" w:afterAutospacing="1"/>
      </w:pPr>
      <w:r>
        <w:rPr>
          <w:b/>
          <w:bCs/>
        </w:rPr>
        <w:t>Вера КАЗАКОВА</w:t>
      </w:r>
      <w:r>
        <w:br/>
        <w:t>ведущий инженер лаборатории ФГБНУ ГОСНИТИ</w:t>
      </w:r>
    </w:p>
    <w:p w:rsidR="00000000" w:rsidRDefault="00F26AE0">
      <w:pPr>
        <w:spacing w:after="280" w:afterAutospacing="1"/>
      </w:pPr>
      <w:r>
        <w:rPr>
          <w:b/>
          <w:bCs/>
        </w:rPr>
        <w:t>Главное в статье</w:t>
      </w:r>
    </w:p>
    <w:p w:rsidR="00000000" w:rsidRDefault="00F26AE0">
      <w:pPr>
        <w:pStyle w:val="Ol"/>
        <w:numPr>
          <w:ilvl w:val="0"/>
          <w:numId w:val="1"/>
        </w:numPr>
      </w:pPr>
      <w:r>
        <w:t>Кабинет или уголок? Зависит от количества сотрудников</w:t>
      </w:r>
    </w:p>
    <w:p w:rsidR="00000000" w:rsidRDefault="00F26AE0">
      <w:pPr>
        <w:pStyle w:val="Ol"/>
        <w:numPr>
          <w:ilvl w:val="0"/>
          <w:numId w:val="1"/>
        </w:numPr>
      </w:pPr>
      <w:r>
        <w:t>Оснащать кабинет по охране труда нужно с учетом потребностей предприятия</w:t>
      </w:r>
    </w:p>
    <w:p w:rsidR="00000000" w:rsidRDefault="00F26AE0">
      <w:pPr>
        <w:pStyle w:val="Ol"/>
        <w:numPr>
          <w:ilvl w:val="0"/>
          <w:numId w:val="1"/>
        </w:numPr>
      </w:pPr>
      <w:r>
        <w:t>В качестве уголка по охране труда можно использовать компьютерные программы</w:t>
      </w:r>
    </w:p>
    <w:p w:rsidR="00000000" w:rsidRDefault="00F26AE0">
      <w:pPr>
        <w:pStyle w:val="Ol"/>
        <w:numPr>
          <w:ilvl w:val="0"/>
          <w:numId w:val="1"/>
        </w:numPr>
        <w:spacing w:after="280" w:afterAutospacing="1"/>
      </w:pPr>
      <w:r>
        <w:t>Если работа сотрудников имеет разъездной характер — оборудуйте передвижной кабинет по охране труда</w:t>
      </w:r>
    </w:p>
    <w:p w:rsidR="00000000" w:rsidRDefault="00F26AE0">
      <w:pPr>
        <w:spacing w:after="280" w:afterAutospacing="1"/>
      </w:pPr>
      <w:r>
        <w:br/>
      </w:r>
      <w:r>
        <w:br/>
      </w:r>
    </w:p>
    <w:p w:rsidR="00000000" w:rsidRDefault="00F26AE0">
      <w:pPr>
        <w:spacing w:after="280" w:afterAutospacing="1"/>
      </w:pPr>
      <w:r>
        <w:rPr>
          <w:rStyle w:val="Spanletter"/>
        </w:rPr>
        <w:t>К</w:t>
      </w:r>
      <w:r>
        <w:t>абин</w:t>
      </w:r>
      <w:r>
        <w:t>ет или уголок по охране труда должны быть на любом предприятии. Нередко руководители задаются вопросом, можно ли обойтись правильно оформленным стендом? И от чего это зависит? Поможем определиться, нужен ли вам полноценный кабинет по охране труда или доста</w:t>
      </w:r>
      <w:r>
        <w:t xml:space="preserve">точно уголка. И чем их нужно укомплектовать. </w:t>
      </w:r>
    </w:p>
    <w:p w:rsidR="00000000" w:rsidRDefault="00F26AE0">
      <w:pPr>
        <w:pStyle w:val="2"/>
        <w:spacing w:after="280" w:afterAutospacing="1"/>
      </w:pPr>
      <w:r>
        <w:t xml:space="preserve">Кабинет или уголок по охране труда </w:t>
      </w:r>
    </w:p>
    <w:p w:rsidR="00000000" w:rsidRDefault="00F26AE0">
      <w:pPr>
        <w:spacing w:after="280" w:afterAutospacing="1"/>
      </w:pPr>
      <w:r>
        <w:t xml:space="preserve">Самостоятельно выбирать между кабинетом по охране труда или уголком работодатель не может. Этот вопрос решен законо- дательно. </w:t>
      </w:r>
    </w:p>
    <w:p w:rsidR="00000000" w:rsidRDefault="00F26AE0">
      <w:r>
        <w:pict>
          <v:rect id="_x0000_i1025" style="width:6in;height:.75pt" o:hralign="center" o:hrstd="t" o:hrnoshade="t" o:hr="t" fillcolor="black" stroked="f">
            <v:path strokeok="f"/>
          </v:rect>
        </w:pict>
      </w:r>
    </w:p>
    <w:p w:rsidR="00000000" w:rsidRDefault="00F26AE0">
      <w:pPr>
        <w:pStyle w:val="H3remark-h3"/>
        <w:spacing w:after="280" w:afterAutospacing="1"/>
      </w:pPr>
      <w:r>
        <w:t>Важно</w:t>
      </w:r>
    </w:p>
    <w:p w:rsidR="00000000" w:rsidRDefault="00F26AE0">
      <w:pPr>
        <w:pStyle w:val="remark-p"/>
        <w:spacing w:after="280" w:afterAutospacing="1"/>
      </w:pPr>
      <w:r>
        <w:t>Требования к оформлению помещений по о</w:t>
      </w:r>
      <w:r>
        <w:t>хране труда прописаны в </w:t>
      </w:r>
      <w:r>
        <w:rPr>
          <w:rStyle w:val="Spanlink"/>
          <w:u w:val="single"/>
        </w:rPr>
        <w:t>постановлении Минтруда России от 17 января 2001 г. № 7</w:t>
      </w:r>
      <w:r>
        <w:t xml:space="preserve"> «Об утверждении Рекомендаций по организации работы кабинета охраны труда и уголка охраны труда» </w:t>
      </w:r>
    </w:p>
    <w:p w:rsidR="00000000" w:rsidRDefault="00F26AE0">
      <w:r>
        <w:pict>
          <v:rect id="_x0000_i1026" style="width:6in;height:.75pt" o:hralign="center" o:hrstd="t" o:hrnoshade="t" o:hr="t" fillcolor="black" stroked="f">
            <v:path strokeok="f"/>
          </v:rect>
        </w:pict>
      </w:r>
    </w:p>
    <w:p w:rsidR="00000000" w:rsidRDefault="00F26AE0"/>
    <w:p w:rsidR="00000000" w:rsidRDefault="00F26AE0">
      <w:pPr>
        <w:spacing w:after="280" w:afterAutospacing="1"/>
      </w:pPr>
      <w:r>
        <w:rPr>
          <w:b/>
          <w:bCs/>
        </w:rPr>
        <w:t>Уголок по охране труда</w:t>
      </w:r>
      <w:r>
        <w:t>. Если на вашем предприятии работает меньше 100 человек</w:t>
      </w:r>
      <w:r>
        <w:t xml:space="preserve">, руководитель ограничивается уголком по охране труда. Его можно оформить в виде стенда, витрины или экрана. Допускается в качестве уголка по охране труда использовать компьютерные программы. </w:t>
      </w:r>
    </w:p>
    <w:p w:rsidR="00000000" w:rsidRDefault="00F26AE0">
      <w:pPr>
        <w:spacing w:after="280" w:afterAutospacing="1"/>
      </w:pPr>
      <w:r>
        <w:rPr>
          <w:b/>
          <w:bCs/>
        </w:rPr>
        <w:t>Кабинет по охране труда</w:t>
      </w:r>
      <w:r>
        <w:t>. Когда штат предприятия больше 100 чело</w:t>
      </w:r>
      <w:r>
        <w:t>век или специфика компании требует проводить много занятий по безопасности с персоналом — работодатель должен выделить отдельное помещение и оборудовать в нем кабинет по охране труда (</w:t>
      </w:r>
      <w:r>
        <w:rPr>
          <w:rStyle w:val="Spanlink"/>
          <w:u w:val="single"/>
        </w:rPr>
        <w:t>п. 5</w:t>
      </w:r>
      <w:r>
        <w:t xml:space="preserve"> постановления Минтруда России от 17 января 2001 г. № 7 «Об утвержде</w:t>
      </w:r>
      <w:r>
        <w:t xml:space="preserve">нии Рекомендаций по организации работы кабинета охраны труда и уголка охраны труда»). </w:t>
      </w:r>
    </w:p>
    <w:p w:rsidR="00000000" w:rsidRDefault="00F26AE0">
      <w:pPr>
        <w:spacing w:after="280" w:afterAutospacing="1"/>
      </w:pPr>
      <w:r>
        <w:t xml:space="preserve">Если в организации сотрудники часто перемещаются по объектам и находятся на временных участках работы, руководитель может оборудовать </w:t>
      </w:r>
      <w:r>
        <w:rPr>
          <w:b/>
          <w:bCs/>
        </w:rPr>
        <w:t>передвижные кабинеты</w:t>
      </w:r>
      <w:r>
        <w:t xml:space="preserve"> охраны труда. </w:t>
      </w:r>
    </w:p>
    <w:p w:rsidR="00000000" w:rsidRDefault="00F26AE0">
      <w:pPr>
        <w:pStyle w:val="2"/>
        <w:spacing w:after="280" w:afterAutospacing="1"/>
      </w:pPr>
      <w:r>
        <w:t xml:space="preserve">Уголок по охране труда </w:t>
      </w:r>
    </w:p>
    <w:p w:rsidR="00000000" w:rsidRDefault="00F26AE0">
      <w:pPr>
        <w:spacing w:after="280" w:afterAutospacing="1"/>
      </w:pPr>
      <w:r>
        <w:t xml:space="preserve">Работодателю не нужно выделять отдельное помещение, чтобы оборудовать уголок охраны труда. Обычно его оформляют в виде стенда на стене. Уголок состоит из общего и специального раздела. </w:t>
      </w:r>
    </w:p>
    <w:p w:rsidR="00000000" w:rsidRDefault="00F26AE0">
      <w:pPr>
        <w:spacing w:after="280" w:afterAutospacing="1"/>
      </w:pPr>
      <w:r>
        <w:rPr>
          <w:b/>
          <w:bCs/>
        </w:rPr>
        <w:t>Общий раздел.</w:t>
      </w:r>
      <w:r>
        <w:t xml:space="preserve"> В нем размещают: </w:t>
      </w:r>
    </w:p>
    <w:p w:rsidR="00000000" w:rsidRDefault="00F26AE0">
      <w:pPr>
        <w:pStyle w:val="Ul"/>
        <w:numPr>
          <w:ilvl w:val="0"/>
          <w:numId w:val="2"/>
        </w:numPr>
      </w:pPr>
      <w:r>
        <w:t>нормативные п</w:t>
      </w:r>
      <w:r>
        <w:t>равовые акты по охране труда и локальные документы организации;</w:t>
      </w:r>
    </w:p>
    <w:p w:rsidR="00000000" w:rsidRDefault="00F26AE0">
      <w:pPr>
        <w:pStyle w:val="Ul"/>
        <w:numPr>
          <w:ilvl w:val="0"/>
          <w:numId w:val="2"/>
        </w:numPr>
      </w:pPr>
      <w:r>
        <w:t>информацию об управлении охраной труда на предприятии;</w:t>
      </w:r>
    </w:p>
    <w:p w:rsidR="00000000" w:rsidRDefault="00F26AE0">
      <w:pPr>
        <w:pStyle w:val="Ul"/>
        <w:numPr>
          <w:ilvl w:val="0"/>
          <w:numId w:val="2"/>
        </w:numPr>
      </w:pPr>
      <w:r>
        <w:t xml:space="preserve">информацию об опасных и вредных производственных факторах, средствах коллективной и индивидуальной защиты; </w:t>
      </w:r>
    </w:p>
    <w:p w:rsidR="00000000" w:rsidRDefault="00F26AE0">
      <w:pPr>
        <w:pStyle w:val="Ul"/>
        <w:numPr>
          <w:ilvl w:val="0"/>
          <w:numId w:val="2"/>
        </w:numPr>
        <w:spacing w:after="280" w:afterAutospacing="1"/>
      </w:pPr>
      <w:r>
        <w:t>действия сотрудников во время</w:t>
      </w:r>
      <w:r>
        <w:t xml:space="preserve"> чрезвычайной ситуации или аварии.</w:t>
      </w:r>
    </w:p>
    <w:p w:rsidR="00000000" w:rsidRDefault="00F26AE0">
      <w:pPr>
        <w:spacing w:after="280" w:afterAutospacing="1"/>
      </w:pPr>
      <w:r>
        <w:rPr>
          <w:b/>
          <w:bCs/>
        </w:rPr>
        <w:t>Специальный раздел</w:t>
      </w:r>
      <w:r>
        <w:t xml:space="preserve">. Содержание специального раздела уголка зависит от специфики условий труда в организации. В раздел можно включить: </w:t>
      </w:r>
    </w:p>
    <w:p w:rsidR="00000000" w:rsidRDefault="00F26AE0">
      <w:pPr>
        <w:pStyle w:val="Ul"/>
        <w:numPr>
          <w:ilvl w:val="0"/>
          <w:numId w:val="3"/>
        </w:numPr>
      </w:pPr>
      <w:r>
        <w:t>информацию по пожарной и электробезопасности;</w:t>
      </w:r>
    </w:p>
    <w:p w:rsidR="00000000" w:rsidRDefault="00F26AE0">
      <w:pPr>
        <w:pStyle w:val="Ul"/>
        <w:numPr>
          <w:ilvl w:val="0"/>
          <w:numId w:val="3"/>
        </w:numPr>
      </w:pPr>
      <w:r>
        <w:t>инструкцию по эксплуатации опасных произ</w:t>
      </w:r>
      <w:r>
        <w:t>водственных объектов;</w:t>
      </w:r>
    </w:p>
    <w:p w:rsidR="00000000" w:rsidRDefault="00F26AE0">
      <w:pPr>
        <w:pStyle w:val="Ul"/>
        <w:numPr>
          <w:ilvl w:val="0"/>
          <w:numId w:val="3"/>
        </w:numPr>
      </w:pPr>
      <w:r>
        <w:t>правила оказания первой помощи;</w:t>
      </w:r>
    </w:p>
    <w:p w:rsidR="00000000" w:rsidRDefault="00F26AE0">
      <w:pPr>
        <w:pStyle w:val="Ul"/>
        <w:numPr>
          <w:ilvl w:val="0"/>
          <w:numId w:val="3"/>
        </w:numPr>
      </w:pPr>
      <w:r>
        <w:t xml:space="preserve">сведения о нормах выдачи СИЗ, средств коллективной защиты, молока и лечебно-профилактического питания; </w:t>
      </w:r>
    </w:p>
    <w:p w:rsidR="00000000" w:rsidRDefault="00F26AE0">
      <w:pPr>
        <w:pStyle w:val="Ul"/>
        <w:numPr>
          <w:ilvl w:val="0"/>
          <w:numId w:val="3"/>
        </w:numPr>
        <w:spacing w:after="280" w:afterAutospacing="1"/>
      </w:pPr>
      <w:r>
        <w:t>информацию о порядке прохождения медосмотров.</w:t>
      </w:r>
    </w:p>
    <w:p w:rsidR="00000000" w:rsidRDefault="00F26AE0">
      <w:pPr>
        <w:spacing w:after="280" w:afterAutospacing="1"/>
      </w:pPr>
      <w:r>
        <w:lastRenderedPageBreak/>
        <w:t>Ответственным за уголок обычно назначают специалиста</w:t>
      </w:r>
      <w:r>
        <w:t xml:space="preserve"> по охране труда.</w:t>
      </w:r>
    </w:p>
    <w:p w:rsidR="00000000" w:rsidRDefault="00F26AE0">
      <w:pPr>
        <w:pStyle w:val="2"/>
        <w:spacing w:after="280" w:afterAutospacing="1"/>
      </w:pPr>
      <w:r>
        <w:t>Стационарный кабинет по охране труда</w:t>
      </w:r>
    </w:p>
    <w:p w:rsidR="00000000" w:rsidRDefault="00F26AE0">
      <w:pPr>
        <w:spacing w:after="280" w:afterAutospacing="1"/>
      </w:pPr>
      <w:r>
        <w:t>Руководитель предприятия утверждает приказом режим работы кабинета по охране труда и его комплектацию. По закону размер кабинета зависит от штата сотрудников. Не менее 24 кв. м — если на предприятии ра</w:t>
      </w:r>
      <w:r>
        <w:t xml:space="preserve">ботают от 100 до 1000 человек. Если работников больше, то на каждую следующую тысячу необходимо добавить еще 6 кв. м. Кабинет может состоять из нескольких помещений. </w:t>
      </w:r>
    </w:p>
    <w:p w:rsidR="00000000" w:rsidRDefault="00F26AE0">
      <w:pPr>
        <w:spacing w:after="280" w:afterAutospacing="1"/>
      </w:pPr>
      <w:r>
        <w:rPr>
          <w:b/>
          <w:bCs/>
        </w:rPr>
        <w:t xml:space="preserve">Назначение кабинета. </w:t>
      </w:r>
      <w:r>
        <w:t>Кабинет по охране труда на предприятиях многофункционален. В нем еже</w:t>
      </w:r>
      <w:r>
        <w:t xml:space="preserve">дневно проводят различные мероприятия: </w:t>
      </w:r>
    </w:p>
    <w:p w:rsidR="00000000" w:rsidRDefault="00F26AE0">
      <w:pPr>
        <w:pStyle w:val="Ul"/>
        <w:numPr>
          <w:ilvl w:val="0"/>
          <w:numId w:val="4"/>
        </w:numPr>
      </w:pPr>
      <w:r>
        <w:t>семинары, лекции, беседы и консультации по вопросам охраны труда;</w:t>
      </w:r>
    </w:p>
    <w:p w:rsidR="00000000" w:rsidRDefault="00F26AE0">
      <w:pPr>
        <w:pStyle w:val="Ul"/>
        <w:numPr>
          <w:ilvl w:val="0"/>
          <w:numId w:val="4"/>
        </w:numPr>
      </w:pPr>
      <w:r>
        <w:t>обучение охране труда и применению СИЗ;</w:t>
      </w:r>
    </w:p>
    <w:p w:rsidR="00000000" w:rsidRDefault="00F26AE0">
      <w:pPr>
        <w:pStyle w:val="Ul"/>
        <w:numPr>
          <w:ilvl w:val="0"/>
          <w:numId w:val="4"/>
        </w:numPr>
      </w:pPr>
      <w:r>
        <w:t>курсы по оказанию первой помощи;</w:t>
      </w:r>
    </w:p>
    <w:p w:rsidR="00000000" w:rsidRDefault="00F26AE0">
      <w:pPr>
        <w:pStyle w:val="Ul"/>
        <w:numPr>
          <w:ilvl w:val="0"/>
          <w:numId w:val="4"/>
        </w:numPr>
      </w:pPr>
      <w:r>
        <w:t>инструктажи;</w:t>
      </w:r>
    </w:p>
    <w:p w:rsidR="00000000" w:rsidRDefault="00F26AE0">
      <w:pPr>
        <w:pStyle w:val="Ul"/>
        <w:numPr>
          <w:ilvl w:val="0"/>
          <w:numId w:val="4"/>
        </w:numPr>
        <w:spacing w:after="280" w:afterAutospacing="1"/>
      </w:pPr>
      <w:r>
        <w:t>проверку у работников знания требований охраны труда.</w:t>
      </w:r>
    </w:p>
    <w:p w:rsidR="00000000" w:rsidRDefault="00F26AE0">
      <w:pPr>
        <w:spacing w:after="280" w:afterAutospacing="1"/>
      </w:pPr>
      <w:r>
        <w:t>Организаци</w:t>
      </w:r>
      <w:r>
        <w:t xml:space="preserve">ей и руководством кабинета занимается служба охраны труда или инженер по охране труда. Они оснащают помещение, организуют и проводят запланированные мероприятия. </w:t>
      </w:r>
    </w:p>
    <w:p w:rsidR="00000000" w:rsidRDefault="00F26AE0">
      <w:pPr>
        <w:spacing w:after="280" w:afterAutospacing="1"/>
      </w:pPr>
      <w:r>
        <w:rPr>
          <w:b/>
          <w:bCs/>
        </w:rPr>
        <w:t xml:space="preserve">Оснащение кабинета. </w:t>
      </w:r>
      <w:r>
        <w:t>Оснащать кабинет нужно с учетом потребностей конкретного предприятия. Для</w:t>
      </w:r>
      <w:r>
        <w:t xml:space="preserve"> этого нужно определить, какое оборудование может понадобиться: </w:t>
      </w:r>
    </w:p>
    <w:p w:rsidR="00000000" w:rsidRDefault="00F26AE0">
      <w:pPr>
        <w:pStyle w:val="Ul"/>
        <w:numPr>
          <w:ilvl w:val="0"/>
          <w:numId w:val="5"/>
        </w:numPr>
      </w:pPr>
      <w:r>
        <w:t xml:space="preserve">для вводного инструктажа необходима витрина со средствами индивидуальной и коллективной защиты; </w:t>
      </w:r>
    </w:p>
    <w:p w:rsidR="00000000" w:rsidRDefault="00F26AE0">
      <w:pPr>
        <w:pStyle w:val="Ul"/>
        <w:numPr>
          <w:ilvl w:val="0"/>
          <w:numId w:val="5"/>
        </w:numPr>
      </w:pPr>
      <w:r>
        <w:t>для обучения основам пожарной безопасности нужно перекидное устройство с плакатами;</w:t>
      </w:r>
    </w:p>
    <w:p w:rsidR="00000000" w:rsidRDefault="00F26AE0">
      <w:pPr>
        <w:pStyle w:val="Ul"/>
        <w:numPr>
          <w:ilvl w:val="0"/>
          <w:numId w:val="5"/>
        </w:numPr>
      </w:pPr>
      <w:r>
        <w:t>для хранен</w:t>
      </w:r>
      <w:r>
        <w:t xml:space="preserve">ия нормативных актов и технической документации по охране труда — застекленные шкафы; </w:t>
      </w:r>
    </w:p>
    <w:p w:rsidR="00000000" w:rsidRDefault="00F26AE0">
      <w:pPr>
        <w:pStyle w:val="Ul"/>
        <w:numPr>
          <w:ilvl w:val="0"/>
          <w:numId w:val="5"/>
        </w:numPr>
        <w:spacing w:after="280" w:afterAutospacing="1"/>
      </w:pPr>
      <w:r>
        <w:t xml:space="preserve">для просмотра учебных слайдов — экран и проектор, а для затемнения помещения шторы на окна. </w:t>
      </w:r>
    </w:p>
    <w:p w:rsidR="00000000" w:rsidRDefault="00F26AE0">
      <w:pPr>
        <w:spacing w:after="280" w:afterAutospacing="1"/>
      </w:pPr>
      <w:r>
        <w:t>Какие носители информации подойдут для обучения именно вашей организации? На</w:t>
      </w:r>
      <w:r>
        <w:t xml:space="preserve">пример, плакаты, печатные брошюры, видеоматериалы, компьютерные программы и т. д. </w:t>
      </w:r>
    </w:p>
    <w:p w:rsidR="00000000" w:rsidRDefault="00F26AE0">
      <w:pPr>
        <w:spacing w:after="280" w:afterAutospacing="1"/>
      </w:pPr>
      <w:r>
        <w:lastRenderedPageBreak/>
        <w:t xml:space="preserve">Какие наглядные пособия помогут сотрудникам быстро и качественно освоить правила охраны труда? Это могут быть специальные манекены или макеты. </w:t>
      </w:r>
    </w:p>
    <w:p w:rsidR="00000000" w:rsidRDefault="00F26AE0">
      <w:pPr>
        <w:spacing w:after="280" w:afterAutospacing="1"/>
      </w:pPr>
      <w:r>
        <w:t>Плакаты и макеты сотрудники п</w:t>
      </w:r>
      <w:r>
        <w:t xml:space="preserve">о охране труда могут изготовить самостоятельно или купить в учебных центрах. </w:t>
      </w:r>
    </w:p>
    <w:p w:rsidR="00000000" w:rsidRDefault="00F26AE0">
      <w:pPr>
        <w:pStyle w:val="2"/>
        <w:spacing w:after="280" w:afterAutospacing="1"/>
      </w:pPr>
      <w:r>
        <w:t xml:space="preserve">Передвижной кабинет охраны труда </w:t>
      </w:r>
    </w:p>
    <w:p w:rsidR="00000000" w:rsidRDefault="00F26AE0">
      <w:pPr>
        <w:spacing w:after="280" w:afterAutospacing="1"/>
      </w:pPr>
      <w:r>
        <w:t>Если работа сотрудников на предприятии предполагает разъездной характер или сотрудники заняты на временных участках, руководитель может оборудов</w:t>
      </w:r>
      <w:r>
        <w:t xml:space="preserve">ать передвижной кабинет по охране труда (рисунок). </w:t>
      </w:r>
    </w:p>
    <w:p w:rsidR="00000000" w:rsidRDefault="00F26AE0">
      <w:pPr>
        <w:pStyle w:val="strong"/>
        <w:spacing w:after="280" w:afterAutospacing="1"/>
      </w:pPr>
      <w:r>
        <w:t>Передвижной кабинет по охране труда</w:t>
      </w:r>
    </w:p>
    <w:p w:rsidR="00000000" w:rsidRDefault="00264166">
      <w:pPr>
        <w:spacing w:after="280" w:afterAutospacing="1"/>
      </w:pPr>
      <w:r>
        <w:rPr>
          <w:noProof/>
        </w:rPr>
        <w:drawing>
          <wp:inline distT="0" distB="0" distL="0" distR="0">
            <wp:extent cx="5400675" cy="26289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F26AE0">
      <w:pPr>
        <w:spacing w:after="280" w:afterAutospacing="1"/>
      </w:pPr>
      <w:r>
        <w:t>Оснащение передвижного кабинета охраны труда поможет проводить полноценные занятия по охране труда на удаленных участках, промежуточный квалификационный контроль перс</w:t>
      </w:r>
      <w:r>
        <w:t xml:space="preserve">онала (таблица). При этом все результаты обучения можно оперативно передавать в центральный офис. </w:t>
      </w:r>
    </w:p>
    <w:p w:rsidR="00000000" w:rsidRDefault="00F26AE0">
      <w:pPr>
        <w:pStyle w:val="strong"/>
        <w:spacing w:after="280" w:afterAutospacing="1"/>
      </w:pPr>
      <w:r>
        <w:t>Оснащение передвижного кабинета по охране труда</w:t>
      </w:r>
    </w:p>
    <w:tbl>
      <w:tblPr>
        <w:tblW w:w="5000" w:type="pct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397"/>
        <w:gridCol w:w="7228"/>
        <w:gridCol w:w="1105"/>
      </w:tblGrid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htable-thead-th"/>
            </w:pPr>
            <w:r>
              <w:t>№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htable-thead-th"/>
            </w:pPr>
            <w:r>
              <w:t>Наименование изделия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htable-thead-th"/>
            </w:pPr>
            <w:r>
              <w:t>Кол-во, шт.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Автомобиль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Стеллажи с полками с крепежной фурнитурой для фиксации</w:t>
            </w:r>
            <w:r>
              <w:t xml:space="preserve"> аппаратуры, приборов и натурных образцов в транспортном </w:t>
            </w:r>
            <w:r>
              <w:lastRenderedPageBreak/>
              <w:t xml:space="preserve">положении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lastRenderedPageBreak/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lastRenderedPageBreak/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Автономная бензоэлектростанция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Цифровой диктофон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Ноутбук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Тренажер по оперативным переключениям в программном комплексе Модус (для обучения персонала энергетических объе</w:t>
            </w:r>
            <w:r>
              <w:t xml:space="preserve">ктов порядку проведения коммутаций на любых энергетических объектах)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2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 xml:space="preserve">Программный комплекс «АСОП-Эксперт» с ключом (для автоматизированного обучения и проверки знаний персонала)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Проектор с сумкой для переноски и экраном на треноге в чехле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 комп</w:t>
            </w:r>
            <w:r>
              <w:t>лект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Зеркальный фотоаппарат с картой памяти 64 Гб и сумкой для переноски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Цифровая видеокамера в комплекте с сумкой для переноски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Комплект кабелей для подключения и другое вспомогательное оборудование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 комплект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Манекен-тренажер «Гоша»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Плакаты тематические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20 шт.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Набор из 20 тематических фильмов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 набор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Ковшовые носилки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</w:t>
            </w:r>
          </w:p>
        </w:tc>
      </w:tr>
      <w:tr w:rsidR="00000000"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Аптечка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FFFFFF"/>
              <w:bottom w:val="single" w:sz="6" w:space="0" w:color="000000"/>
              <w:right w:val="single" w:sz="6" w:space="0" w:color="FFFFFF"/>
            </w:tcBorders>
            <w:vAlign w:val="center"/>
          </w:tcPr>
          <w:p w:rsidR="00000000" w:rsidRDefault="00F26AE0">
            <w:pPr>
              <w:pStyle w:val="Tdtable-td"/>
            </w:pPr>
            <w:r>
              <w:t>1</w:t>
            </w:r>
          </w:p>
        </w:tc>
      </w:tr>
    </w:tbl>
    <w:p w:rsidR="00000000" w:rsidRDefault="00F26AE0"/>
    <w:p w:rsidR="00000000" w:rsidRDefault="00F26AE0">
      <w:pPr>
        <w:spacing w:after="280" w:afterAutospacing="1"/>
      </w:pPr>
      <w:r>
        <w:t>Передвижной кабинет может ежедневно курсировать между филиалами. А сотрудники службы охраны труда могут проводить целевое обучение на месте,</w:t>
      </w:r>
      <w:r>
        <w:t xml:space="preserve"> учитывая потребности персонала в обучении «здесь и сейчас». </w:t>
      </w:r>
    </w:p>
    <w:p w:rsidR="00000000" w:rsidRDefault="00F26AE0">
      <w:pPr>
        <w:spacing w:after="280" w:afterAutospacing="1"/>
      </w:pPr>
      <w:r>
        <w:t xml:space="preserve">Чаще всего такие кабинеты размещают на базе автомобиля «Газель», КамАЗ, ПАЗ и других автомобильных шасси, на которые можно смонтировать цельнометаллические фургоны. </w:t>
      </w:r>
    </w:p>
    <w:p w:rsidR="00000000" w:rsidRDefault="00F26AE0">
      <w:r>
        <w:pict>
          <v:rect id="_x0000_i1027" style="width:6in;height:.75pt" o:hralign="center" o:hrstd="t" o:hrnoshade="t" o:hr="t" fillcolor="black" stroked="f">
            <v:path strokeok="f"/>
          </v:rect>
        </w:pict>
      </w:r>
    </w:p>
    <w:p w:rsidR="00000000" w:rsidRDefault="00F26AE0">
      <w:pPr>
        <w:pStyle w:val="H3remark-h3"/>
        <w:spacing w:after="280" w:afterAutospacing="1"/>
      </w:pPr>
      <w:r>
        <w:t>Важно</w:t>
      </w:r>
    </w:p>
    <w:p w:rsidR="00000000" w:rsidRDefault="00F26AE0">
      <w:pPr>
        <w:pStyle w:val="remark-p"/>
        <w:spacing w:after="280" w:afterAutospacing="1"/>
      </w:pPr>
      <w:r>
        <w:t xml:space="preserve">Передвижной кабинет </w:t>
      </w:r>
      <w:r>
        <w:t>работодателю нужно зарегистрировать в органах ГИБДД</w:t>
      </w:r>
    </w:p>
    <w:p w:rsidR="00000000" w:rsidRDefault="00F26AE0">
      <w:r>
        <w:pict>
          <v:rect id="_x0000_i1028" style="width:6in;height:.75pt" o:hralign="center" o:hrstd="t" o:hrnoshade="t" o:hr="t" fillcolor="black" stroked="f">
            <v:path strokeok="f"/>
          </v:rect>
        </w:pict>
      </w:r>
    </w:p>
    <w:p w:rsidR="00000000" w:rsidRDefault="00F26AE0"/>
    <w:p w:rsidR="00000000" w:rsidRDefault="00F26AE0">
      <w:pPr>
        <w:spacing w:after="280" w:afterAutospacing="1"/>
      </w:pPr>
      <w:r>
        <w:t>Кабинет комплектуют:</w:t>
      </w:r>
    </w:p>
    <w:p w:rsidR="00000000" w:rsidRDefault="00F26AE0">
      <w:pPr>
        <w:pStyle w:val="Ul"/>
        <w:numPr>
          <w:ilvl w:val="0"/>
          <w:numId w:val="6"/>
        </w:numPr>
      </w:pPr>
      <w:r>
        <w:lastRenderedPageBreak/>
        <w:t>портативным компьютером и акустической стереосистемой;</w:t>
      </w:r>
    </w:p>
    <w:p w:rsidR="00000000" w:rsidRDefault="00F26AE0">
      <w:pPr>
        <w:pStyle w:val="Ul"/>
        <w:numPr>
          <w:ilvl w:val="0"/>
          <w:numId w:val="6"/>
        </w:numPr>
      </w:pPr>
      <w:r>
        <w:t>спутниковым телефоном;</w:t>
      </w:r>
    </w:p>
    <w:p w:rsidR="00000000" w:rsidRDefault="00F26AE0">
      <w:pPr>
        <w:pStyle w:val="Ul"/>
        <w:numPr>
          <w:ilvl w:val="0"/>
          <w:numId w:val="6"/>
        </w:numPr>
      </w:pPr>
      <w:r>
        <w:t>портативным принтером и сканером;</w:t>
      </w:r>
    </w:p>
    <w:p w:rsidR="00000000" w:rsidRDefault="00F26AE0">
      <w:pPr>
        <w:pStyle w:val="Ul"/>
        <w:numPr>
          <w:ilvl w:val="0"/>
          <w:numId w:val="6"/>
        </w:numPr>
      </w:pPr>
      <w:r>
        <w:t>цифровым фотоаппаратом, видеокамерой, мультимедийным проектором и эк</w:t>
      </w:r>
      <w:r>
        <w:t>раном;</w:t>
      </w:r>
    </w:p>
    <w:p w:rsidR="00000000" w:rsidRDefault="00F26AE0">
      <w:pPr>
        <w:pStyle w:val="Ul"/>
        <w:numPr>
          <w:ilvl w:val="0"/>
          <w:numId w:val="6"/>
        </w:numPr>
      </w:pPr>
      <w:r>
        <w:t>тренажером для отработки приемов оказания первой медицинской помощи;</w:t>
      </w:r>
    </w:p>
    <w:p w:rsidR="00000000" w:rsidRDefault="00F26AE0">
      <w:pPr>
        <w:pStyle w:val="Ul"/>
        <w:numPr>
          <w:ilvl w:val="0"/>
          <w:numId w:val="6"/>
        </w:numPr>
        <w:spacing w:after="280" w:afterAutospacing="1"/>
      </w:pPr>
      <w:r>
        <w:t>средствами для наглядного обучения (литература, плакаты, видеофильмы и слайды).</w:t>
      </w:r>
    </w:p>
    <w:p w:rsidR="00000000" w:rsidRDefault="00F26AE0">
      <w:pPr>
        <w:spacing w:after="280" w:afterAutospacing="1"/>
      </w:pPr>
      <w:r>
        <w:t>Кроме того, передвижной кабинет оснащают специализированными учебными программами и видеотекой по ох</w:t>
      </w:r>
      <w:r>
        <w:t xml:space="preserve">ране труда и организации безопасного производства работ, применению новых средств защиты и приспособлений. Оборудование размещают на специально предназначенных для него стеллажах, имеющих простой и безопасный доступ. </w:t>
      </w:r>
    </w:p>
    <w:p w:rsidR="00000000" w:rsidRDefault="00F26AE0">
      <w:pPr>
        <w:spacing w:after="280" w:afterAutospacing="1"/>
      </w:pPr>
      <w:r>
        <w:t>Для удобства сотрудников мобильный ком</w:t>
      </w:r>
      <w:r>
        <w:t xml:space="preserve">плекс оборудуют кондиционером, системой отопления, холодильником, вентиляцией, автономными системами энерго- и жизнеобеспечения. </w:t>
      </w:r>
    </w:p>
    <w:p w:rsidR="00000000" w:rsidRDefault="00F26AE0">
      <w:pPr>
        <w:spacing w:after="280" w:afterAutospacing="1"/>
      </w:pPr>
      <w:r>
        <w:t>В следующем номере журнала мы расскажем, как самостоятельно оборудовать передвижную лабораторию для производственного контроля</w:t>
      </w:r>
      <w:r>
        <w:t xml:space="preserve">. </w:t>
      </w:r>
    </w:p>
    <w:tbl>
      <w:tblPr>
        <w:tblW w:w="5000" w:type="pct"/>
        <w:tblInd w:w="330" w:type="dxa"/>
        <w:tblCellMar>
          <w:left w:w="0" w:type="dxa"/>
          <w:right w:w="0" w:type="dxa"/>
        </w:tblCellMar>
        <w:tblLook w:val="04A0"/>
      </w:tblPr>
      <w:tblGrid>
        <w:gridCol w:w="9300"/>
      </w:tblGrid>
      <w:tr w:rsidR="00000000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tcMar>
              <w:top w:w="150" w:type="dxa"/>
              <w:left w:w="330" w:type="dxa"/>
              <w:bottom w:w="150" w:type="dxa"/>
              <w:right w:w="330" w:type="dxa"/>
            </w:tcMar>
            <w:vAlign w:val="center"/>
          </w:tcPr>
          <w:p w:rsidR="00000000" w:rsidRDefault="00F26AE0">
            <w:pPr>
              <w:pStyle w:val="H3inline-h3"/>
              <w:spacing w:after="280" w:afterAutospacing="1"/>
            </w:pPr>
            <w:r>
              <w:t>КОММЕНТАРИЙ РЕДАКЦИИ</w:t>
            </w:r>
          </w:p>
          <w:p w:rsidR="00000000" w:rsidRDefault="00F26AE0">
            <w:pPr>
              <w:pStyle w:val="inline-p"/>
            </w:pPr>
            <w:r>
              <w:t>Мобильным можно сделать не только кабинет по охране труда. Нередко работодатель на базе автомобиля оборудует передвижные лаборатории контроля качества продуктов производства, диагностики систем или контроля выполняемых работ. Наприм</w:t>
            </w:r>
            <w:r>
              <w:t>ер, мобильная лаборатория контроля качества нефтепродуктов поможет проверить качество бензина и дизельного топлива на АЗС, нефтебазах и топливных складах. А с помощью передвижной лаборатории для контроля фасадов зданий можно провести испытания качества цем</w:t>
            </w:r>
            <w:r>
              <w:t xml:space="preserve">ента, бетона, сухих строительных смесей, фасадных материалов и покрытий. </w:t>
            </w:r>
          </w:p>
        </w:tc>
      </w:tr>
    </w:tbl>
    <w:p w:rsidR="00F26AE0" w:rsidRDefault="00F26AE0">
      <w:pPr>
        <w:spacing w:after="280" w:afterAutospacing="1"/>
      </w:pPr>
      <w:r>
        <w:br/>
        <w:t xml:space="preserve">  </w:t>
      </w:r>
    </w:p>
    <w:sectPr w:rsidR="00F26AE0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264166"/>
    <w:rsid w:val="00F26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etter">
    <w:name w:val="Span_letter"/>
    <w:basedOn w:val="a0"/>
  </w:style>
  <w:style w:type="paragraph" w:customStyle="1" w:styleId="H3remark-h3">
    <w:name w:val="H3_remark-h3"/>
    <w:basedOn w:val="3"/>
    <w:pPr>
      <w:spacing w:before="0" w:after="0" w:line="270" w:lineRule="atLeast"/>
    </w:pPr>
    <w:rPr>
      <w:sz w:val="22"/>
      <w:szCs w:val="22"/>
    </w:rPr>
  </w:style>
  <w:style w:type="character" w:customStyle="1" w:styleId="Spanlink">
    <w:name w:val="Span_link"/>
    <w:basedOn w:val="a0"/>
    <w:rPr>
      <w:color w:val="008200"/>
    </w:rPr>
  </w:style>
  <w:style w:type="paragraph" w:customStyle="1" w:styleId="Thtable-thead-th">
    <w:name w:val="Th_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Tdtable-td">
    <w:name w:val="Td_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H3inline-h3">
    <w:name w:val="H3_inline-h3"/>
    <w:basedOn w:val="3"/>
    <w:pPr>
      <w:spacing w:before="0" w:after="18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1271</Words>
  <Characters>7249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2018-07-03T09:45:00Z</dcterms:created>
  <dcterms:modified xsi:type="dcterms:W3CDTF">2018-07-03T09:45:00Z</dcterms:modified>
</cp:coreProperties>
</file>