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4A55">
      <w:pPr>
        <w:pStyle w:val="printredaction-line"/>
        <w:divId w:val="515462479"/>
      </w:pPr>
      <w:r>
        <w:t>Редакция от 1 янв 2016</w:t>
      </w:r>
    </w:p>
    <w:p w:rsidR="00000000" w:rsidRDefault="00EC4A55">
      <w:pPr>
        <w:pStyle w:val="2"/>
        <w:divId w:val="515462479"/>
        <w:rPr>
          <w:rFonts w:eastAsia="Times New Roman"/>
        </w:rPr>
      </w:pPr>
      <w:r>
        <w:rPr>
          <w:rFonts w:eastAsia="Times New Roman"/>
        </w:rPr>
        <w:t>Целесообразность использования аутсорсинга</w:t>
      </w:r>
    </w:p>
    <w:p w:rsidR="00000000" w:rsidRDefault="00EC4A55">
      <w:pPr>
        <w:pStyle w:val="a3"/>
        <w:divId w:val="515462479"/>
      </w:pPr>
      <w:r>
        <w:rPr>
          <w:b/>
          <w:bCs/>
        </w:rPr>
        <w:t>Попов Ф. И.</w:t>
      </w:r>
    </w:p>
    <w:p w:rsidR="00000000" w:rsidRDefault="00EC4A55">
      <w:pPr>
        <w:pStyle w:val="a3"/>
        <w:divId w:val="1882597343"/>
      </w:pPr>
      <w:r>
        <w:t xml:space="preserve">Аутсорсинг – </w:t>
      </w:r>
      <w:r>
        <w:t>это распространенный способ передачи непрофильных для компании функций профессиональной организации на постоянной основе и на условиях ответственности. В России уже стала обычным явлением передача предприятиями на аутсорсинг таких функций, как бухгалтерски</w:t>
      </w:r>
      <w:r>
        <w:t>й учет, юридическое, кадровое обслуживание и т. д. Менее развит аутсорсинг в сфере охраны труда</w:t>
      </w:r>
      <w:r>
        <w:t>.</w:t>
      </w:r>
    </w:p>
    <w:p w:rsidR="00000000" w:rsidRDefault="00EC4A55">
      <w:pPr>
        <w:pStyle w:val="a3"/>
        <w:divId w:val="1882597343"/>
      </w:pPr>
      <w:r>
        <w:t>Согласно</w:t>
      </w:r>
      <w:r>
        <w:t xml:space="preserve"> </w:t>
      </w:r>
      <w:hyperlink r:id="rId4" w:anchor="/document/99/901807664/XA00MFM2NK/" w:history="1">
        <w:r>
          <w:rPr>
            <w:rStyle w:val="a4"/>
          </w:rPr>
          <w:t>ст. 217</w:t>
        </w:r>
      </w:hyperlink>
      <w:r>
        <w:t xml:space="preserve"> Трудового кодекса Российской Федерации при численности работников </w:t>
      </w:r>
      <w:r>
        <w:t>более 50 человек работодатель обязан ввести должность специалиста по охране труда или создать службу охраны труда. Если же численность работников не превышает 50 человек и в штате работодателя отсутствует специалист по охране труда, то он вправе принять од</w:t>
      </w:r>
      <w:r>
        <w:t>но из следующих решений: осуществлять функции специалиста по охране труда лично; возложить выполнение функций специалиста по охране труда на одного из своих работников (в дополнение к его основным обязанностям); привлечь по гражданско-правовому договору сп</w:t>
      </w:r>
      <w:r>
        <w:t>ециалиста или организацию, оказывающую услуги в области охраны труда</w:t>
      </w:r>
      <w:r>
        <w:t>.</w:t>
      </w:r>
    </w:p>
    <w:p w:rsidR="00000000" w:rsidRDefault="00EC4A55">
      <w:pPr>
        <w:divId w:val="1000767463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EC4A55">
      <w:pPr>
        <w:pStyle w:val="a3"/>
        <w:divId w:val="1000767463"/>
      </w:pPr>
      <w:r>
        <w:t>как правило, организациями, численность работников которых не превышает 50 человек, являются предприятия малого бизнеса, а таких предприятий, по данным Росстата, на 1 января 2</w:t>
      </w:r>
      <w:r>
        <w:t>011 г. насчитывалось около 220 тыс.</w:t>
      </w:r>
    </w:p>
    <w:p w:rsidR="00000000" w:rsidRDefault="00EC4A55">
      <w:pPr>
        <w:pStyle w:val="a3"/>
        <w:divId w:val="1882597343"/>
      </w:pPr>
      <w:r>
        <w:t>Отсутствие же должного внимания к вопросам охраны труда чревато для работодателя крайне неприятными последствиями.</w:t>
      </w:r>
      <w:r>
        <w:t xml:space="preserve"> </w:t>
      </w:r>
    </w:p>
    <w:p w:rsidR="00000000" w:rsidRDefault="00EC4A55">
      <w:pPr>
        <w:pStyle w:val="a3"/>
        <w:divId w:val="1882597343"/>
      </w:pPr>
      <w:r>
        <w:t>В каждой компании предъявляются свои требования к специалистам по охране труда</w:t>
      </w:r>
      <w:r>
        <w:t>.</w:t>
      </w:r>
    </w:p>
    <w:p w:rsidR="00000000" w:rsidRDefault="00EC4A55">
      <w:pPr>
        <w:pStyle w:val="a3"/>
        <w:divId w:val="1882597343"/>
      </w:pPr>
      <w:r>
        <w:t>Некоторые работодатели о</w:t>
      </w:r>
      <w:r>
        <w:t>тносятся к этим работникам, как к неизбежным затратам, с которыми приходится мириться, т. к. необходимо отчитываться перед</w:t>
      </w:r>
      <w:r>
        <w:t xml:space="preserve"> </w:t>
      </w:r>
      <w:hyperlink r:id="rId5" w:anchor="/document/113/4769/" w:tooltip="Государственной инспекцией труда" w:history="1">
        <w:r>
          <w:rPr>
            <w:rStyle w:val="a4"/>
          </w:rPr>
          <w:t>Государственной инспекцией труда</w:t>
        </w:r>
      </w:hyperlink>
      <w:r>
        <w:t xml:space="preserve"> .</w:t>
      </w:r>
      <w:r>
        <w:t xml:space="preserve"> </w:t>
      </w:r>
    </w:p>
    <w:p w:rsidR="00000000" w:rsidRDefault="00EC4A55">
      <w:pPr>
        <w:pStyle w:val="a3"/>
        <w:divId w:val="1882597343"/>
      </w:pPr>
      <w:r>
        <w:t>Другая категория работодателей действительно намерена улучшить условия труда своих работников благодаря формированию системы охраны труда на предприятии и отдает себе отчет в том, что необходимо серьезно вкладываться в ее развитие и укрепление</w:t>
      </w:r>
      <w:r>
        <w:t>.</w:t>
      </w:r>
    </w:p>
    <w:p w:rsidR="00000000" w:rsidRDefault="00EC4A55">
      <w:pPr>
        <w:pStyle w:val="a3"/>
        <w:divId w:val="1882597343"/>
      </w:pPr>
      <w:r>
        <w:t>Главный в</w:t>
      </w:r>
      <w:r>
        <w:t>опрос, на который необходимо ответить работодателям в подобной ситуации: где найди такого специалиста по охране труда, который сможет выполнить всю работу профессионально и с оптимальными затратами</w:t>
      </w:r>
      <w:r>
        <w:t>?</w:t>
      </w:r>
    </w:p>
    <w:p w:rsidR="00000000" w:rsidRDefault="00EC4A55">
      <w:pPr>
        <w:pStyle w:val="a3"/>
        <w:divId w:val="1882597343"/>
      </w:pPr>
      <w:r>
        <w:t>Между тем в период становления предприятия необходимо про</w:t>
      </w:r>
      <w:r>
        <w:t>делать гигантский объем работы в сфере охраны труда, включая разработку инструкций по охране труда и локальных нормативных документов, а также проведение аттестации рабочих мест по условиям труда. В процессе жизнедеятельности предприятия система охраны тру</w:t>
      </w:r>
      <w:r>
        <w:t>да также нуждается в постоянном контроле и усовершенствовании, т. к. этого требуют производственные процессы</w:t>
      </w:r>
      <w:r>
        <w:t>.</w:t>
      </w:r>
    </w:p>
    <w:p w:rsidR="00000000" w:rsidRDefault="00EC4A55">
      <w:pPr>
        <w:pStyle w:val="a3"/>
        <w:divId w:val="1882597343"/>
      </w:pPr>
      <w:r>
        <w:lastRenderedPageBreak/>
        <w:t>На выручку в данном случае придет аутсорсинг в сфере охраны труда.</w:t>
      </w:r>
      <w:r>
        <w:t xml:space="preserve"> </w:t>
      </w:r>
    </w:p>
    <w:p w:rsidR="00000000" w:rsidRDefault="00EC4A55">
      <w:pPr>
        <w:divId w:val="938835581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EC4A55">
      <w:pPr>
        <w:pStyle w:val="a3"/>
        <w:divId w:val="938835581"/>
      </w:pPr>
      <w:r>
        <w:t>используя аутсорсинг в сфере охраны труда, предприятие получает сле</w:t>
      </w:r>
      <w:r>
        <w:t>дующие преимущества:</w:t>
      </w:r>
    </w:p>
    <w:p w:rsidR="00000000" w:rsidRDefault="00EC4A55">
      <w:pPr>
        <w:pStyle w:val="a3"/>
        <w:divId w:val="644238532"/>
      </w:pPr>
      <w:r>
        <w:t>• снижение потребности в инвестициях на развитие непрофильных видов деятельности, повышение экономической эффективности и уменьшение издержек, связанных с обеспечением соблюдения требований охраны труда (частичная или полная передача ф</w:t>
      </w:r>
      <w:r>
        <w:t>ункций в области охраны труда аутсорсеру зачастую обходится дешевле, чем создание или использование корпоративной службы охраны труда)</w:t>
      </w:r>
      <w:r>
        <w:t>;</w:t>
      </w:r>
    </w:p>
    <w:p w:rsidR="00000000" w:rsidRDefault="00EC4A55">
      <w:pPr>
        <w:pStyle w:val="a3"/>
        <w:divId w:val="644238532"/>
      </w:pPr>
      <w:r>
        <w:t>• повышение качества и надежности выполнения функций, переданных на профессиональный аутсорсинг</w:t>
      </w:r>
      <w:r>
        <w:t>;</w:t>
      </w:r>
    </w:p>
    <w:p w:rsidR="00000000" w:rsidRDefault="00EC4A55">
      <w:pPr>
        <w:pStyle w:val="a3"/>
        <w:divId w:val="644238532"/>
      </w:pPr>
      <w:r>
        <w:t>• концентрация усилий н</w:t>
      </w:r>
      <w:r>
        <w:t>а основных стратегических целях предприятия благодаря делегированию второстепенных функций аутсорсерам</w:t>
      </w:r>
      <w:r>
        <w:t>;</w:t>
      </w:r>
    </w:p>
    <w:p w:rsidR="00000000" w:rsidRDefault="00EC4A55">
      <w:pPr>
        <w:pStyle w:val="a3"/>
        <w:divId w:val="644238532"/>
      </w:pPr>
      <w:r>
        <w:t>• высвобождение организационных, финансовых и человеческих ресурсов для развития новых направлений деятельности</w:t>
      </w:r>
      <w:r>
        <w:t>;</w:t>
      </w:r>
    </w:p>
    <w:p w:rsidR="00000000" w:rsidRDefault="00EC4A55">
      <w:pPr>
        <w:pStyle w:val="a3"/>
        <w:divId w:val="644238532"/>
      </w:pPr>
      <w:r>
        <w:t>• повышение эффективности и качества ра</w:t>
      </w:r>
      <w:r>
        <w:t>боты предприятия на стратегических направлениях</w:t>
      </w:r>
      <w:r>
        <w:t>;</w:t>
      </w:r>
    </w:p>
    <w:p w:rsidR="00000000" w:rsidRDefault="00EC4A55">
      <w:pPr>
        <w:pStyle w:val="a3"/>
        <w:divId w:val="644238532"/>
      </w:pPr>
      <w:r>
        <w:t>• снижение рисков, связанных с реализацией бизнес-процесса</w:t>
      </w:r>
      <w:r>
        <w:t>;</w:t>
      </w:r>
    </w:p>
    <w:p w:rsidR="00000000" w:rsidRDefault="00EC4A55">
      <w:pPr>
        <w:pStyle w:val="a3"/>
        <w:divId w:val="644238532"/>
      </w:pPr>
      <w:r>
        <w:t>• повышение инвестиционной привлекательности предприятия</w:t>
      </w:r>
      <w:r>
        <w:t>.</w:t>
      </w:r>
    </w:p>
    <w:p w:rsidR="00000000" w:rsidRDefault="00EC4A55">
      <w:pPr>
        <w:pStyle w:val="a3"/>
        <w:divId w:val="1882597343"/>
      </w:pPr>
      <w:r>
        <w:t>На первом этапе принятия решения об использовании аутсорсинга предприятию необходимо осущ</w:t>
      </w:r>
      <w:r>
        <w:t>ествить оценку собственных возможностей, а именно</w:t>
      </w:r>
      <w:r>
        <w:t>:</w:t>
      </w:r>
    </w:p>
    <w:p w:rsidR="00000000" w:rsidRDefault="00EC4A55">
      <w:pPr>
        <w:pStyle w:val="a3"/>
        <w:divId w:val="1882597343"/>
      </w:pPr>
      <w:r>
        <w:t>• провести анализ состояния материально-технических и производственных ресурсов, а также оценку возможностей штатного персонала (численности сотрудников и их квалификации) по выполнению функций в области о</w:t>
      </w:r>
      <w:r>
        <w:t>храны труда, которые предполагается передать на аутсорсинг</w:t>
      </w:r>
      <w:r>
        <w:t>;</w:t>
      </w:r>
    </w:p>
    <w:p w:rsidR="00000000" w:rsidRDefault="00EC4A55">
      <w:pPr>
        <w:pStyle w:val="a3"/>
        <w:divId w:val="1882597343"/>
      </w:pPr>
      <w:r>
        <w:t>• оценить качество и себестоимость выполнения собственными силами функций в области охраны труда, которые планируется передать на аутсорсинг</w:t>
      </w:r>
      <w:r>
        <w:t>;</w:t>
      </w:r>
    </w:p>
    <w:p w:rsidR="00000000" w:rsidRDefault="00EC4A55">
      <w:pPr>
        <w:pStyle w:val="a3"/>
        <w:divId w:val="1882597343"/>
      </w:pPr>
      <w:r>
        <w:t xml:space="preserve">• определить потребность в дополнительных капитальных </w:t>
      </w:r>
      <w:r>
        <w:t>вложениях, необходимых для повышения эффективности и качества выполнения функций в области охраны труда собственными силами</w:t>
      </w:r>
      <w:r>
        <w:t>;</w:t>
      </w:r>
    </w:p>
    <w:p w:rsidR="00000000" w:rsidRDefault="00EC4A55">
      <w:pPr>
        <w:pStyle w:val="a3"/>
        <w:divId w:val="1882597343"/>
      </w:pPr>
      <w:r>
        <w:t xml:space="preserve">• оценить возможные риски (экономические, снижение качества, несвоевременное предоставление услуг и др.) и связанные с ними потери </w:t>
      </w:r>
      <w:r>
        <w:t>организации</w:t>
      </w:r>
      <w:r>
        <w:t>.</w:t>
      </w:r>
    </w:p>
    <w:p w:rsidR="00000000" w:rsidRDefault="00EC4A55">
      <w:pPr>
        <w:pStyle w:val="a3"/>
        <w:divId w:val="1882597343"/>
      </w:pPr>
      <w:r>
        <w:t>На втором этапе необходимо проанализировать возможности организаций, предлагающих услуги по аутсорсингу в сфере охраны труда, в т. ч. провести</w:t>
      </w:r>
      <w:r>
        <w:t>:</w:t>
      </w:r>
    </w:p>
    <w:p w:rsidR="00000000" w:rsidRDefault="00EC4A55">
      <w:pPr>
        <w:pStyle w:val="a3"/>
        <w:divId w:val="1882597343"/>
      </w:pPr>
      <w:r>
        <w:t>• проверку правового статуса аутсорсера, наличия необходимых аттестатов аккредитации</w:t>
      </w:r>
      <w:r>
        <w:t>;</w:t>
      </w:r>
    </w:p>
    <w:p w:rsidR="00000000" w:rsidRDefault="00EC4A55">
      <w:pPr>
        <w:pStyle w:val="a3"/>
        <w:divId w:val="1882597343"/>
      </w:pPr>
      <w:r>
        <w:lastRenderedPageBreak/>
        <w:t xml:space="preserve">• </w:t>
      </w:r>
      <w:r>
        <w:t>изучение работ (услуг), выполняемых аутсорсером</w:t>
      </w:r>
      <w:r>
        <w:t>;</w:t>
      </w:r>
    </w:p>
    <w:p w:rsidR="00000000" w:rsidRDefault="00EC4A55">
      <w:pPr>
        <w:pStyle w:val="a3"/>
        <w:divId w:val="1882597343"/>
      </w:pPr>
      <w:r>
        <w:t>• оценку качества работ (услуг), выполняемых аутсорсером, и цен на них</w:t>
      </w:r>
      <w:r>
        <w:t>;</w:t>
      </w:r>
    </w:p>
    <w:p w:rsidR="00000000" w:rsidRDefault="00EC4A55">
      <w:pPr>
        <w:pStyle w:val="a3"/>
        <w:divId w:val="1882597343"/>
      </w:pPr>
      <w:r>
        <w:t>• проверку опыта работы и коммерческой репутации аутсорсера</w:t>
      </w:r>
      <w:r>
        <w:t>;</w:t>
      </w:r>
    </w:p>
    <w:p w:rsidR="00000000" w:rsidRDefault="00EC4A55">
      <w:pPr>
        <w:pStyle w:val="a3"/>
        <w:divId w:val="1882597343"/>
      </w:pPr>
      <w:r>
        <w:t>• проверку кредитной истории аутсорсера</w:t>
      </w:r>
      <w:r>
        <w:t>.</w:t>
      </w:r>
    </w:p>
    <w:p w:rsidR="00000000" w:rsidRDefault="00EC4A55">
      <w:pPr>
        <w:pStyle w:val="a3"/>
        <w:divId w:val="1882597343"/>
      </w:pPr>
      <w:r>
        <w:t>Игнорирование требований и рекоме</w:t>
      </w:r>
      <w:r>
        <w:t>ндаций компании, привлеченной для выполнения услуг в сфере охраны труда, сделает аутсорсинг малоэффективным, т. к. основной смысл аутсорсинга – это использование передового опыта в области охраны труда</w:t>
      </w:r>
      <w:r>
        <w:t>.</w:t>
      </w:r>
    </w:p>
    <w:p w:rsidR="00EC4A55" w:rsidRDefault="00EC4A55">
      <w:pPr>
        <w:divId w:val="1673875305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</w:t>
      </w:r>
      <w:r>
        <w:rPr>
          <w:rFonts w:ascii="Arial" w:eastAsia="Times New Roman" w:hAnsi="Arial" w:cs="Arial"/>
          <w:sz w:val="17"/>
          <w:szCs w:val="17"/>
        </w:rPr>
        <w:t>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EC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05559"/>
    <w:rsid w:val="00905559"/>
    <w:rsid w:val="00EC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247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7343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7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827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875305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2018-07-02T07:55:00Z</dcterms:created>
  <dcterms:modified xsi:type="dcterms:W3CDTF">2018-07-02T07:55:00Z</dcterms:modified>
</cp:coreProperties>
</file>