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3A45">
      <w:pPr>
        <w:pStyle w:val="printredaction-line"/>
        <w:divId w:val="589659598"/>
      </w:pPr>
      <w:r>
        <w:t>Редакция от 1 ноя 2017</w:t>
      </w:r>
    </w:p>
    <w:p w:rsidR="00000000" w:rsidRDefault="00583A45">
      <w:pPr>
        <w:pStyle w:val="2"/>
        <w:divId w:val="589659598"/>
        <w:rPr>
          <w:rFonts w:eastAsia="Times New Roman"/>
        </w:rPr>
      </w:pPr>
      <w:r>
        <w:rPr>
          <w:rFonts w:eastAsia="Times New Roman"/>
        </w:rPr>
        <w:t>Как организовать здравпункт на предприятии</w:t>
      </w:r>
    </w:p>
    <w:p w:rsidR="00000000" w:rsidRDefault="00583A45">
      <w:pPr>
        <w:pStyle w:val="a3"/>
        <w:divId w:val="589659598"/>
      </w:pPr>
      <w:r>
        <w:rPr>
          <w:b/>
          <w:bCs/>
        </w:rPr>
        <w:t>Т. Кутузова</w:t>
      </w:r>
    </w:p>
    <w:p w:rsidR="00000000" w:rsidRDefault="00583A45">
      <w:pPr>
        <w:pStyle w:val="a3"/>
        <w:divId w:val="1736970862"/>
      </w:pPr>
      <w:r>
        <w:t>Чтобы организовать здравпункт на предприятии, необходимо определить штатную численность здравпункта, выделить помещение и обеспечить его всем необходимым. Как это сделать, читайте в рекомендации</w:t>
      </w:r>
      <w:r>
        <w:t>.</w:t>
      </w:r>
    </w:p>
    <w:p w:rsidR="00000000" w:rsidRDefault="00583A45">
      <w:pPr>
        <w:pStyle w:val="2"/>
        <w:divId w:val="1736970862"/>
        <w:rPr>
          <w:rFonts w:eastAsia="Times New Roman"/>
        </w:rPr>
      </w:pPr>
      <w:r>
        <w:rPr>
          <w:rFonts w:eastAsia="Times New Roman"/>
        </w:rPr>
        <w:t>Какие предприятия обязаны создавать здравпункты</w:t>
      </w:r>
      <w:r>
        <w:rPr>
          <w:rFonts w:eastAsia="Times New Roman"/>
        </w:rPr>
        <w:t xml:space="preserve"> </w:t>
      </w:r>
    </w:p>
    <w:p w:rsidR="00000000" w:rsidRDefault="00583A45">
      <w:pPr>
        <w:pStyle w:val="a3"/>
        <w:divId w:val="1398551472"/>
      </w:pPr>
      <w:r>
        <w:t>Обязаны соз</w:t>
      </w:r>
      <w:r>
        <w:t>дать здравпункт</w:t>
      </w:r>
      <w:r>
        <w:t>:</w:t>
      </w:r>
    </w:p>
    <w:p w:rsidR="00000000" w:rsidRDefault="00583A45">
      <w:pPr>
        <w:numPr>
          <w:ilvl w:val="0"/>
          <w:numId w:val="1"/>
        </w:numPr>
        <w:spacing w:after="103"/>
        <w:ind w:left="686"/>
        <w:divId w:val="1398551472"/>
        <w:rPr>
          <w:rFonts w:eastAsia="Times New Roman"/>
        </w:rPr>
      </w:pPr>
      <w:r>
        <w:rPr>
          <w:rStyle w:val="xx-small"/>
          <w:rFonts w:eastAsia="Times New Roman"/>
        </w:rPr>
        <w:t xml:space="preserve">автотранспортные организации </w:t>
      </w:r>
      <w:r>
        <w:rPr>
          <w:rStyle w:val="xx-small"/>
          <w:rFonts w:eastAsia="Times New Roman"/>
        </w:rPr>
        <w:t>(</w:t>
      </w:r>
      <w:hyperlink r:id="rId5" w:anchor="/document/99/901865962/XA00M882NB/" w:history="1">
        <w:r>
          <w:rPr>
            <w:rStyle w:val="a4"/>
            <w:rFonts w:eastAsia="Times New Roman"/>
          </w:rPr>
          <w:t>п. 3.6.22</w:t>
        </w:r>
      </w:hyperlink>
      <w:r>
        <w:rPr>
          <w:rStyle w:val="xx-small"/>
          <w:rFonts w:eastAsia="Times New Roman"/>
        </w:rPr>
        <w:t xml:space="preserve"> ПОТ РМ 027-2003);</w:t>
      </w:r>
    </w:p>
    <w:p w:rsidR="00000000" w:rsidRDefault="00583A45">
      <w:pPr>
        <w:numPr>
          <w:ilvl w:val="0"/>
          <w:numId w:val="1"/>
        </w:numPr>
        <w:spacing w:after="103"/>
        <w:ind w:left="686"/>
        <w:divId w:val="1398551472"/>
        <w:rPr>
          <w:rFonts w:eastAsia="Times New Roman"/>
        </w:rPr>
      </w:pPr>
      <w:r>
        <w:rPr>
          <w:rStyle w:val="xx-small"/>
          <w:rFonts w:eastAsia="Times New Roman"/>
        </w:rPr>
        <w:t xml:space="preserve">морские и речные порты </w:t>
      </w:r>
      <w:r>
        <w:rPr>
          <w:rStyle w:val="xx-small"/>
          <w:rFonts w:eastAsia="Times New Roman"/>
        </w:rPr>
        <w:t>(</w:t>
      </w:r>
      <w:hyperlink r:id="rId6" w:anchor="/document/97/86623/me2756/" w:history="1">
        <w:r>
          <w:rPr>
            <w:rStyle w:val="a4"/>
            <w:rFonts w:eastAsia="Times New Roman"/>
          </w:rPr>
          <w:t>п. 14.6</w:t>
        </w:r>
      </w:hyperlink>
      <w:r>
        <w:rPr>
          <w:rStyle w:val="xx-small"/>
          <w:rFonts w:eastAsia="Times New Roman"/>
        </w:rPr>
        <w:t xml:space="preserve"> ПОТ Р</w:t>
      </w:r>
      <w:r>
        <w:rPr>
          <w:rStyle w:val="xx-small"/>
          <w:rFonts w:eastAsia="Times New Roman"/>
        </w:rPr>
        <w:t>О-152-31.82.03-96,</w:t>
      </w:r>
      <w:r>
        <w:rPr>
          <w:rStyle w:val="xx-small"/>
          <w:rFonts w:eastAsia="Times New Roman"/>
        </w:rPr>
        <w:t xml:space="preserve"> </w:t>
      </w:r>
      <w:hyperlink r:id="rId7" w:anchor="/document/97/262366/dfas8a1lz8/" w:history="1">
        <w:r>
          <w:rPr>
            <w:rStyle w:val="a4"/>
            <w:rFonts w:eastAsia="Times New Roman"/>
          </w:rPr>
          <w:t>п. 2.6</w:t>
        </w:r>
      </w:hyperlink>
      <w:r>
        <w:rPr>
          <w:rStyle w:val="xx-small"/>
          <w:rFonts w:eastAsia="Times New Roman"/>
        </w:rPr>
        <w:t xml:space="preserve"> ПОТ РО-00030171-99);</w:t>
      </w:r>
    </w:p>
    <w:p w:rsidR="00000000" w:rsidRDefault="00583A45">
      <w:pPr>
        <w:numPr>
          <w:ilvl w:val="0"/>
          <w:numId w:val="1"/>
        </w:numPr>
        <w:spacing w:after="103"/>
        <w:ind w:left="686"/>
        <w:divId w:val="1398551472"/>
        <w:rPr>
          <w:rFonts w:eastAsia="Times New Roman"/>
        </w:rPr>
      </w:pPr>
      <w:r>
        <w:rPr>
          <w:rStyle w:val="xx-small"/>
          <w:rFonts w:eastAsia="Times New Roman"/>
        </w:rPr>
        <w:t xml:space="preserve">нефтеперерабатывающие производства </w:t>
      </w:r>
      <w:r>
        <w:rPr>
          <w:rStyle w:val="xx-small"/>
          <w:rFonts w:eastAsia="Times New Roman"/>
        </w:rPr>
        <w:t>(</w:t>
      </w:r>
      <w:hyperlink r:id="rId8" w:anchor="/document/97/98655/me1465/" w:history="1">
        <w:r>
          <w:rPr>
            <w:rStyle w:val="a4"/>
            <w:rFonts w:eastAsia="Times New Roman"/>
          </w:rPr>
          <w:t>п. 9.2.1</w:t>
        </w:r>
      </w:hyperlink>
      <w:r>
        <w:rPr>
          <w:rStyle w:val="xx-small"/>
          <w:rFonts w:eastAsia="Times New Roman"/>
        </w:rPr>
        <w:t xml:space="preserve"> ПБЭ НП-2001).</w:t>
      </w:r>
    </w:p>
    <w:p w:rsidR="00000000" w:rsidRDefault="00583A45">
      <w:pPr>
        <w:pStyle w:val="a3"/>
        <w:divId w:val="1398551472"/>
      </w:pPr>
      <w:r>
        <w:t>Остальным</w:t>
      </w:r>
      <w:r>
        <w:t xml:space="preserve"> предприятиям достаточно организовать помещения для оказания медицинской помощи </w:t>
      </w:r>
      <w:r>
        <w:t>(</w:t>
      </w:r>
      <w:hyperlink r:id="rId9" w:anchor="/document/99/901807664/XA00MBO2MV/" w:history="1">
        <w:r>
          <w:rPr>
            <w:rStyle w:val="a4"/>
          </w:rPr>
          <w:t>ст. 212</w:t>
        </w:r>
      </w:hyperlink>
      <w:r>
        <w:t>,</w:t>
      </w:r>
      <w:r>
        <w:t xml:space="preserve"> </w:t>
      </w:r>
      <w:hyperlink r:id="rId10" w:anchor="/document/99/901807664/XA00M8I2NC/" w:history="1">
        <w:r>
          <w:rPr>
            <w:rStyle w:val="a4"/>
          </w:rPr>
          <w:t>ст. 223 ТК РФ</w:t>
        </w:r>
      </w:hyperlink>
      <w:r>
        <w:t>)</w:t>
      </w:r>
      <w:r>
        <w:t xml:space="preserve">. Создавать здравпункты и вводить в штат должности медицинских работников такие предприятия вправе, но не обязаны </w:t>
      </w:r>
      <w:r>
        <w:t>(</w:t>
      </w:r>
      <w:hyperlink r:id="rId11" w:anchor="/document/99/902312609/XA00MCE2N2/" w:history="1">
        <w:r>
          <w:rPr>
            <w:rStyle w:val="a4"/>
          </w:rPr>
          <w:t>п. 4</w:t>
        </w:r>
      </w:hyperlink>
      <w:r>
        <w:t xml:space="preserve"> ст. 24 Закона от 21 ноября 2011 г. № 323-ФЗ)</w:t>
      </w:r>
      <w:r>
        <w:t>.</w:t>
      </w:r>
    </w:p>
    <w:p w:rsidR="00000000" w:rsidRDefault="00583A45">
      <w:pPr>
        <w:divId w:val="153519298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</w:t>
      </w:r>
      <w:r>
        <w:rPr>
          <w:rStyle w:val="incut-head-sub"/>
          <w:rFonts w:eastAsia="Times New Roman"/>
        </w:rPr>
        <w:t xml:space="preserve">ательность здравпунктов предусмотрена в нормативных документах для предприятий книжной торговли </w:t>
      </w:r>
      <w:r>
        <w:rPr>
          <w:rStyle w:val="incut-head-sub"/>
          <w:rFonts w:eastAsia="Times New Roman"/>
        </w:rPr>
        <w:t>(</w:t>
      </w:r>
      <w:hyperlink r:id="rId12" w:anchor="/document/97/99214/me991/" w:history="1">
        <w:r>
          <w:rPr>
            <w:rStyle w:val="a4"/>
            <w:rFonts w:eastAsia="Times New Roman"/>
          </w:rPr>
          <w:t>п. 2.8.9</w:t>
        </w:r>
      </w:hyperlink>
      <w:r>
        <w:rPr>
          <w:rStyle w:val="incut-head-sub"/>
          <w:rFonts w:eastAsia="Times New Roman"/>
        </w:rPr>
        <w:t xml:space="preserve"> ПОТ РО 29-003-95) и издательств </w:t>
      </w:r>
      <w:r>
        <w:rPr>
          <w:rStyle w:val="incut-head-sub"/>
          <w:rFonts w:eastAsia="Times New Roman"/>
        </w:rPr>
        <w:t>(</w:t>
      </w:r>
      <w:hyperlink r:id="rId13" w:anchor="/document/97/99215/me199/" w:history="1">
        <w:r>
          <w:rPr>
            <w:rStyle w:val="a4"/>
            <w:rFonts w:eastAsia="Times New Roman"/>
          </w:rPr>
          <w:t>п. 2.3.9</w:t>
        </w:r>
      </w:hyperlink>
      <w:r>
        <w:rPr>
          <w:rStyle w:val="incut-head-sub"/>
          <w:rFonts w:eastAsia="Times New Roman"/>
        </w:rPr>
        <w:t xml:space="preserve"> ПОТ РО 29-002-94). Однако ПОТ РО 29-003-95 и ПОТ РО 29-002-94 не зарегистрированы в Минюсте России и носят рекомендательный характер.</w:t>
      </w:r>
    </w:p>
    <w:p w:rsidR="00000000" w:rsidRDefault="00583A45">
      <w:pPr>
        <w:pStyle w:val="2"/>
        <w:divId w:val="1736970862"/>
        <w:rPr>
          <w:rFonts w:eastAsia="Times New Roman"/>
        </w:rPr>
      </w:pPr>
      <w:r>
        <w:rPr>
          <w:rFonts w:eastAsia="Times New Roman"/>
        </w:rPr>
        <w:t>Нужна ли лицензия для организации здравпункт</w:t>
      </w:r>
      <w:r>
        <w:rPr>
          <w:rFonts w:eastAsia="Times New Roman"/>
        </w:rPr>
        <w:t>а</w:t>
      </w:r>
    </w:p>
    <w:p w:rsidR="00000000" w:rsidRDefault="00583A45">
      <w:pPr>
        <w:pStyle w:val="a3"/>
        <w:divId w:val="526673546"/>
      </w:pPr>
      <w:r>
        <w:t>Да, нужна</w:t>
      </w:r>
      <w:r>
        <w:t>.</w:t>
      </w:r>
    </w:p>
    <w:p w:rsidR="00000000" w:rsidRDefault="00583A45">
      <w:pPr>
        <w:pStyle w:val="a3"/>
        <w:divId w:val="526673546"/>
      </w:pPr>
      <w:r>
        <w:t>Лицензия нужна для любой медицинской де</w:t>
      </w:r>
      <w:r>
        <w:t xml:space="preserve">ятельности </w:t>
      </w:r>
      <w:r>
        <w:t>(</w:t>
      </w:r>
      <w:hyperlink r:id="rId14" w:anchor="/document/99/902276657/XA00MEM2NG/" w:history="1">
        <w:r>
          <w:rPr>
            <w:rStyle w:val="a4"/>
          </w:rPr>
          <w:t>п. 46 ч. 1 ст. 12 Закона от 4 мая 2011 г. № 99-ФЗ</w:t>
        </w:r>
      </w:hyperlink>
      <w:r>
        <w:t>). Без лицензии можно оказывать только первую помощь (Перечень работ и услуг, которые относят к медицинской деятельност</w:t>
      </w:r>
      <w:r>
        <w:t>и, утвержден</w:t>
      </w:r>
      <w:r>
        <w:t xml:space="preserve"> </w:t>
      </w:r>
      <w:hyperlink r:id="rId15" w:anchor="/document/99/902342781/XA00M6G2N3/" w:history="1">
        <w:r>
          <w:rPr>
            <w:rStyle w:val="a4"/>
          </w:rPr>
          <w:t>постановлением Правительства РФ от 16 апреля 2012 г. № 291</w:t>
        </w:r>
      </w:hyperlink>
      <w:r>
        <w:t>). Поэтому, чтобы оказывать работникам медпомощь, проводить медосмотры и экспертизу профпригодности, необходи</w:t>
      </w:r>
      <w:r>
        <w:t>ма лицензия</w:t>
      </w:r>
      <w:r>
        <w:t>.</w:t>
      </w:r>
    </w:p>
    <w:p w:rsidR="00000000" w:rsidRDefault="00583A45">
      <w:pPr>
        <w:pStyle w:val="a3"/>
        <w:divId w:val="526673546"/>
      </w:pPr>
      <w:r>
        <w:t>Вместо получения лицензии можно заключить с медорганизацией договор аутсорсинга о медицинском обслуживании работников, то есть передать здравпункт на управление медорганизации</w:t>
      </w:r>
      <w:r>
        <w:t>.</w:t>
      </w:r>
    </w:p>
    <w:p w:rsidR="00000000" w:rsidRDefault="00583A45">
      <w:pPr>
        <w:divId w:val="263270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отдельные организации и территории должны обслуживаться </w:t>
      </w:r>
      <w:r>
        <w:rPr>
          <w:rStyle w:val="xx-small"/>
          <w:rFonts w:eastAsia="Times New Roman"/>
        </w:rPr>
        <w:t>в Федеральном медико-биологическом агентстве (ФМБА) России. Перечень таких организаций и территорий утвержден распоряжением Правительства РФ от 21 августа 2006 г. № 1156-р.</w:t>
      </w:r>
    </w:p>
    <w:p w:rsidR="00000000" w:rsidRDefault="00583A45">
      <w:pPr>
        <w:pStyle w:val="a3"/>
        <w:divId w:val="526673546"/>
      </w:pPr>
      <w:r>
        <w:lastRenderedPageBreak/>
        <w:t>Медучреждения предлагают различные формы организации медобслуживания, например</w:t>
      </w:r>
      <w:r>
        <w:t>:</w:t>
      </w:r>
    </w:p>
    <w:p w:rsidR="00000000" w:rsidRDefault="00583A45">
      <w:pPr>
        <w:numPr>
          <w:ilvl w:val="0"/>
          <w:numId w:val="2"/>
        </w:numPr>
        <w:spacing w:after="103"/>
        <w:ind w:left="686"/>
        <w:divId w:val="526673546"/>
        <w:rPr>
          <w:rFonts w:eastAsia="Times New Roman"/>
        </w:rPr>
      </w:pPr>
      <w:r>
        <w:rPr>
          <w:rStyle w:val="xx-small"/>
          <w:rFonts w:eastAsia="Times New Roman"/>
        </w:rPr>
        <w:t>пре</w:t>
      </w:r>
      <w:r>
        <w:rPr>
          <w:rStyle w:val="xx-small"/>
          <w:rFonts w:eastAsia="Times New Roman"/>
        </w:rPr>
        <w:t>доставление штата медработников (врач, фельдшер, медсестра) в зависимости от особенностей деятельности предприятия и потребностей в медицинских услугах;</w:t>
      </w:r>
    </w:p>
    <w:p w:rsidR="00000000" w:rsidRDefault="00583A45">
      <w:pPr>
        <w:numPr>
          <w:ilvl w:val="0"/>
          <w:numId w:val="2"/>
        </w:numPr>
        <w:spacing w:after="103"/>
        <w:ind w:left="686"/>
        <w:divId w:val="526673546"/>
        <w:rPr>
          <w:rFonts w:eastAsia="Times New Roman"/>
        </w:rPr>
      </w:pPr>
      <w:r>
        <w:rPr>
          <w:rStyle w:val="xx-small"/>
          <w:rFonts w:eastAsia="Times New Roman"/>
        </w:rPr>
        <w:t>обеспечение средствами медназначения, медикаментами, пополнение аптечек;</w:t>
      </w:r>
    </w:p>
    <w:p w:rsidR="00000000" w:rsidRDefault="00583A45">
      <w:pPr>
        <w:numPr>
          <w:ilvl w:val="0"/>
          <w:numId w:val="2"/>
        </w:numPr>
        <w:spacing w:after="103"/>
        <w:ind w:left="686"/>
        <w:divId w:val="526673546"/>
        <w:rPr>
          <w:rFonts w:eastAsia="Times New Roman"/>
        </w:rPr>
      </w:pPr>
      <w:r>
        <w:rPr>
          <w:rStyle w:val="xx-small"/>
          <w:rFonts w:eastAsia="Times New Roman"/>
        </w:rPr>
        <w:t>оснащение медпункта </w:t>
      </w:r>
      <w:r>
        <w:rPr>
          <w:rStyle w:val="xx-small"/>
          <w:rFonts w:eastAsia="Times New Roman"/>
        </w:rPr>
        <w:t>необходимой мебелью, аппаратурой, медоборудованием;</w:t>
      </w:r>
    </w:p>
    <w:p w:rsidR="00000000" w:rsidRDefault="00583A45">
      <w:pPr>
        <w:numPr>
          <w:ilvl w:val="0"/>
          <w:numId w:val="2"/>
        </w:numPr>
        <w:spacing w:after="103"/>
        <w:ind w:left="686"/>
        <w:divId w:val="526673546"/>
        <w:rPr>
          <w:rFonts w:eastAsia="Times New Roman"/>
        </w:rPr>
      </w:pPr>
      <w:r>
        <w:rPr>
          <w:rStyle w:val="xx-small"/>
          <w:rFonts w:eastAsia="Times New Roman"/>
        </w:rPr>
        <w:t>прием сотрудников без отрыва от работы с  оформлением больничных листков и выдачей справок.</w:t>
      </w:r>
    </w:p>
    <w:p w:rsidR="00000000" w:rsidRDefault="00583A45">
      <w:pPr>
        <w:divId w:val="183437515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если медработники проводят работу в здравпункте на территории работодателя, то его адрес медорганизаци</w:t>
      </w:r>
      <w:r>
        <w:rPr>
          <w:rStyle w:val="xx-small"/>
          <w:rFonts w:eastAsia="Times New Roman"/>
        </w:rPr>
        <w:t>я должна включить в лицензию.</w:t>
      </w:r>
    </w:p>
    <w:p w:rsidR="00000000" w:rsidRDefault="00583A45">
      <w:pPr>
        <w:pStyle w:val="2"/>
        <w:divId w:val="1736970862"/>
        <w:rPr>
          <w:rFonts w:eastAsia="Times New Roman"/>
        </w:rPr>
      </w:pPr>
      <w:r>
        <w:rPr>
          <w:rFonts w:eastAsia="Times New Roman"/>
        </w:rPr>
        <w:t>Какие функции у здравпункт</w:t>
      </w:r>
      <w:r>
        <w:rPr>
          <w:rFonts w:eastAsia="Times New Roman"/>
        </w:rPr>
        <w:t>а</w:t>
      </w:r>
    </w:p>
    <w:p w:rsidR="00000000" w:rsidRDefault="00583A45">
      <w:pPr>
        <w:pStyle w:val="a3"/>
        <w:divId w:val="879559851"/>
      </w:pPr>
      <w:r>
        <w:t>Основные функции здравпункта</w:t>
      </w:r>
      <w:r>
        <w:t>: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оказание первичной медпомощи до приезда скорой помощи;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экспертиза временной нетрудоспособности;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организация направления к врачам работников, которые обратились за медпомощью;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выдача справок об обращении за медпомощью;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участие в подготовке списков контингентов и поименных списков работников для прохождения обязательного предварительного и периодически</w:t>
      </w:r>
      <w:r>
        <w:rPr>
          <w:rFonts w:eastAsia="Times New Roman"/>
        </w:rPr>
        <w:t>х медосмотров;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участие в контроле своевременного прохождения работниками предварительного и периодических медосмотров;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проведение предрейсовых, послерейсовых, предсменных, послесменных осмотров;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организация и проведение санитарно-гигиенических и противоэпи</w:t>
      </w:r>
      <w:r>
        <w:rPr>
          <w:rFonts w:eastAsia="Times New Roman"/>
        </w:rPr>
        <w:t>демических мероприятий;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проведение мероприятий по предупреждению и снижению заболеваемости, травматизма, профзаболеваний и улучшение санитарно-гигиенических условий труда;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охрана здоровья работников;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участие в разработке и проведении комплекса профилактиче</w:t>
      </w:r>
      <w:r>
        <w:rPr>
          <w:rFonts w:eastAsia="Times New Roman"/>
        </w:rPr>
        <w:t>ских и оздоровительных мероприятий;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ведение учетно-отчетной документации;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участие в тренировках и учениях, которые имитируют аварийные ситуации;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оформление по запросам выписок из журналов приема больных и актов освидетельствования;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lastRenderedPageBreak/>
        <w:t>повышение квалификации м</w:t>
      </w:r>
      <w:r>
        <w:rPr>
          <w:rFonts w:eastAsia="Times New Roman"/>
        </w:rPr>
        <w:t>едработников здравпункта, участие в конференциях и семинарах;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изучение и соблюдение правил охраны труда;</w:t>
      </w:r>
    </w:p>
    <w:p w:rsidR="00000000" w:rsidRDefault="00583A45">
      <w:pPr>
        <w:numPr>
          <w:ilvl w:val="0"/>
          <w:numId w:val="3"/>
        </w:numPr>
        <w:spacing w:after="103"/>
        <w:ind w:left="686"/>
        <w:divId w:val="879559851"/>
        <w:rPr>
          <w:rFonts w:eastAsia="Times New Roman"/>
        </w:rPr>
      </w:pPr>
      <w:r>
        <w:rPr>
          <w:rFonts w:eastAsia="Times New Roman"/>
        </w:rPr>
        <w:t>регулярные отчеты о работе и результатах.</w:t>
      </w:r>
    </w:p>
    <w:p w:rsidR="00000000" w:rsidRDefault="00583A45">
      <w:pPr>
        <w:pStyle w:val="a3"/>
        <w:divId w:val="879559851"/>
      </w:pPr>
      <w:r>
        <w:t>Такие функции предусмотрены в пункте 5</w:t>
      </w:r>
      <w:r>
        <w:t xml:space="preserve"> </w:t>
      </w:r>
      <w:hyperlink r:id="rId16" w:anchor="/document/99/902389109/XA00M7E2ML/" w:history="1">
        <w:r>
          <w:rPr>
            <w:rStyle w:val="a4"/>
          </w:rPr>
          <w:t>приложения 1</w:t>
        </w:r>
      </w:hyperlink>
      <w:r>
        <w:t xml:space="preserve"> к Порядку, утвержденному</w:t>
      </w:r>
      <w:r>
        <w:t xml:space="preserve"> </w:t>
      </w:r>
      <w:hyperlink r:id="rId17" w:anchor="/document/99/902389109/" w:history="1">
        <w:r>
          <w:rPr>
            <w:rStyle w:val="a4"/>
          </w:rPr>
          <w:t>приказом Минздрава России от 13 ноября 2012 г. № 911н</w:t>
        </w:r>
      </w:hyperlink>
      <w:r>
        <w:t xml:space="preserve"> (далее – приложение 1 к приказу Минздрава России от 13 ноября 2012 г. № 911н)</w:t>
      </w:r>
      <w:r>
        <w:t>.</w:t>
      </w:r>
    </w:p>
    <w:p w:rsidR="00000000" w:rsidRDefault="00583A45">
      <w:pPr>
        <w:pStyle w:val="2"/>
        <w:divId w:val="1736970862"/>
        <w:rPr>
          <w:rFonts w:eastAsia="Times New Roman"/>
        </w:rPr>
      </w:pPr>
      <w:r>
        <w:rPr>
          <w:rFonts w:eastAsia="Times New Roman"/>
        </w:rPr>
        <w:t>Какие требован</w:t>
      </w:r>
      <w:r>
        <w:rPr>
          <w:rFonts w:eastAsia="Times New Roman"/>
        </w:rPr>
        <w:t>ия к помещению и численности здравпункт</w:t>
      </w:r>
      <w:r>
        <w:rPr>
          <w:rFonts w:eastAsia="Times New Roman"/>
        </w:rPr>
        <w:t>а</w:t>
      </w:r>
    </w:p>
    <w:p w:rsidR="00000000" w:rsidRDefault="00583A45">
      <w:pPr>
        <w:pStyle w:val="a3"/>
        <w:divId w:val="1988052648"/>
      </w:pPr>
      <w:r>
        <w:t xml:space="preserve">Врачебный здравпункт для организации, которая наряду с основной деятельностью занимается меддеятельностью, организуйте в виде структурного подразделения </w:t>
      </w:r>
      <w:r>
        <w:t>(</w:t>
      </w:r>
      <w:hyperlink r:id="rId18" w:anchor="/document/99/902389109/XA00M802MO/" w:history="1">
        <w:r>
          <w:rPr>
            <w:rStyle w:val="a4"/>
          </w:rPr>
          <w:t>п. 1 приложения 1 к приказу Минздрава России от 13 ноября 2012 г. № 911н)</w:t>
        </w:r>
      </w:hyperlink>
      <w:r>
        <w:t>.</w:t>
      </w:r>
    </w:p>
    <w:p w:rsidR="00000000" w:rsidRDefault="00583A45">
      <w:pPr>
        <w:pStyle w:val="a3"/>
        <w:divId w:val="1988052648"/>
      </w:pPr>
      <w:r>
        <w:t>Правила организации деятельности здравпунктов указаны в</w:t>
      </w:r>
      <w:r>
        <w:t xml:space="preserve"> </w:t>
      </w:r>
      <w:hyperlink r:id="rId19" w:anchor="/document/99/902389109/ZAP2BLC3EP/" w:history="1">
        <w:r>
          <w:rPr>
            <w:rStyle w:val="a4"/>
          </w:rPr>
          <w:t>приложении 1</w:t>
        </w:r>
      </w:hyperlink>
      <w:r>
        <w:t xml:space="preserve"> к приказу Минздрава Р</w:t>
      </w:r>
      <w:r>
        <w:t>оссии от 13 ноября 2012 г. № 911н.</w:t>
      </w:r>
      <w:r>
        <w:t xml:space="preserve"> </w:t>
      </w:r>
      <w:r>
        <w:t>Врачебный здравпункт размещают в отдельном помещении. Требования к помещениям здравпунктов прописаны в</w:t>
      </w:r>
      <w:r>
        <w:t xml:space="preserve"> </w:t>
      </w:r>
      <w:hyperlink r:id="rId20" w:anchor="/document/99/902217205/" w:history="1">
        <w:r>
          <w:rPr>
            <w:rStyle w:val="a4"/>
          </w:rPr>
          <w:t>СанПиН 2.1.3.2630-10</w:t>
        </w:r>
      </w:hyperlink>
      <w:r>
        <w:t xml:space="preserve"> и разделе </w:t>
      </w:r>
      <w:r>
        <w:t>«</w:t>
      </w:r>
      <w:hyperlink r:id="rId21" w:anchor="/document/97/21907/el351/" w:history="1">
        <w:r>
          <w:rPr>
            <w:rStyle w:val="a4"/>
          </w:rPr>
          <w:t>Помещения здравоохранения</w:t>
        </w:r>
      </w:hyperlink>
      <w:r>
        <w:t>» СНиП 2.09.04-87</w:t>
      </w:r>
      <w:r>
        <w:t>.</w:t>
      </w:r>
    </w:p>
    <w:p w:rsidR="00000000" w:rsidRDefault="00583A45">
      <w:pPr>
        <w:pStyle w:val="a3"/>
        <w:divId w:val="1988052648"/>
      </w:pPr>
      <w:r>
        <w:t>Структуру здравпункта и  штатную численность устанавливает руководитель организации в зависимости от вида деятельности организации. Рекомендованное количество работни</w:t>
      </w:r>
      <w:r>
        <w:t>ков здравпункта по</w:t>
      </w:r>
      <w:r>
        <w:t xml:space="preserve"> </w:t>
      </w:r>
      <w:hyperlink r:id="rId22" w:anchor="/document/99/902389109/" w:history="1">
        <w:r>
          <w:rPr>
            <w:rStyle w:val="a4"/>
          </w:rPr>
          <w:t>приложению 2</w:t>
        </w:r>
      </w:hyperlink>
      <w:r>
        <w:t xml:space="preserve"> к приказу Минздрава России от 13 ноября 2012 г. № 911н приведены в таблице</w:t>
      </w:r>
      <w:r>
        <w:t>.</w:t>
      </w:r>
    </w:p>
    <w:p w:rsidR="00000000" w:rsidRDefault="00583A45">
      <w:pPr>
        <w:pStyle w:val="a3"/>
        <w:divId w:val="1988052648"/>
      </w:pPr>
      <w:r>
        <w:t>Таблица. Рекомендованные штатные нормативы здравпункт</w:t>
      </w:r>
      <w: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735"/>
        <w:gridCol w:w="4866"/>
      </w:tblGrid>
      <w:tr w:rsidR="00000000">
        <w:trPr>
          <w:divId w:val="36204436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 должност</w:t>
            </w:r>
            <w:r>
              <w:rPr>
                <w:rStyle w:val="xx-small"/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Количество должностей</w:t>
            </w:r>
          </w:p>
        </w:tc>
      </w:tr>
      <w:tr w:rsidR="00000000">
        <w:trPr>
          <w:divId w:val="36204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Заведующий здравпунктом – врач-терапев</w:t>
            </w:r>
            <w:r>
              <w:rPr>
                <w:rStyle w:val="xx-small"/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</w:t>
            </w:r>
          </w:p>
        </w:tc>
      </w:tr>
      <w:tr w:rsidR="00000000">
        <w:trPr>
          <w:divId w:val="36204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Врач-терапев</w:t>
            </w:r>
            <w:r>
              <w:rPr>
                <w:rStyle w:val="xx-small"/>
                <w:rFonts w:eastAsia="Times New Roman"/>
              </w:rPr>
              <w:t>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 на рабочую смену</w:t>
            </w:r>
            <w:hyperlink r:id="rId23" w:anchor="/document/16/36454/dfashucxta/" w:history="1">
              <w:r>
                <w:rPr>
                  <w:rStyle w:val="a4"/>
                  <w:rFonts w:eastAsia="Times New Roman"/>
                </w:rPr>
                <w:t>*</w:t>
              </w:r>
            </w:hyperlink>
          </w:p>
        </w:tc>
      </w:tr>
      <w:tr w:rsidR="00000000">
        <w:trPr>
          <w:divId w:val="36204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Старшая медицинская сестр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</w:t>
            </w:r>
          </w:p>
        </w:tc>
      </w:tr>
      <w:tr w:rsidR="00000000">
        <w:trPr>
          <w:divId w:val="36204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Медицинская сестр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 на рабочую смену</w:t>
            </w:r>
            <w:hyperlink r:id="rId24" w:anchor="/document/16/36454/dfashucxta/" w:history="1">
              <w:r>
                <w:rPr>
                  <w:rStyle w:val="a4"/>
                  <w:rFonts w:eastAsia="Times New Roman"/>
                </w:rPr>
                <w:t>*</w:t>
              </w:r>
            </w:hyperlink>
          </w:p>
        </w:tc>
      </w:tr>
      <w:tr w:rsidR="00000000">
        <w:trPr>
          <w:divId w:val="36204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Санита</w:t>
            </w:r>
            <w:r>
              <w:rPr>
                <w:rStyle w:val="xx-small"/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83A4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 на рабочую смену для уборки помещений</w:t>
            </w:r>
            <w:hyperlink r:id="rId25" w:anchor="/document/16/36454/dfashucxta/" w:history="1">
              <w:r>
                <w:rPr>
                  <w:rStyle w:val="a4"/>
                  <w:rFonts w:eastAsia="Times New Roman"/>
                </w:rPr>
                <w:t>*</w:t>
              </w:r>
            </w:hyperlink>
          </w:p>
        </w:tc>
      </w:tr>
    </w:tbl>
    <w:p w:rsidR="00000000" w:rsidRDefault="00583A45">
      <w:pPr>
        <w:pStyle w:val="a3"/>
        <w:divId w:val="1988052648"/>
      </w:pPr>
      <w:r>
        <w:t>*Количество рабочих смен определяется соответственно графику работы организации</w:t>
      </w:r>
      <w:r>
        <w:t>.</w:t>
      </w:r>
    </w:p>
    <w:p w:rsidR="00000000" w:rsidRDefault="00583A45">
      <w:pPr>
        <w:pStyle w:val="2"/>
        <w:divId w:val="1736970862"/>
        <w:rPr>
          <w:rFonts w:eastAsia="Times New Roman"/>
        </w:rPr>
      </w:pPr>
      <w:r>
        <w:rPr>
          <w:rFonts w:eastAsia="Times New Roman"/>
        </w:rPr>
        <w:t>Чем оснастить здравпунк</w:t>
      </w:r>
      <w:r>
        <w:rPr>
          <w:rFonts w:eastAsia="Times New Roman"/>
        </w:rPr>
        <w:t>т</w:t>
      </w:r>
    </w:p>
    <w:p w:rsidR="00000000" w:rsidRDefault="00583A45">
      <w:pPr>
        <w:pStyle w:val="a3"/>
        <w:divId w:val="1748115961"/>
      </w:pPr>
      <w:r>
        <w:t xml:space="preserve">Стандарт оснащения врачебного здравпункта включает 87 наименований оборудования </w:t>
      </w:r>
      <w:r>
        <w:t>(</w:t>
      </w:r>
      <w:hyperlink r:id="rId26" w:anchor="/document/99/902389109/XA00M6Q2MH/" w:history="1">
        <w:r>
          <w:rPr>
            <w:rStyle w:val="a4"/>
          </w:rPr>
          <w:t>приложение 3</w:t>
        </w:r>
      </w:hyperlink>
      <w:r>
        <w:t xml:space="preserve"> к приказу Минздрава России от 13 ноября 2012 г. № 911н), в том числе</w:t>
      </w:r>
      <w:r>
        <w:t>: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пять аптечек первой помощи;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два набора для оказания экстренной медицинской помощи;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одна аптечка «антиспид»;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один электрокардиограф портативный шестиканальный;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три фонендоскопа;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пять термометров медицинских;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три тонометра для измерения артериального давления;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два алкометра;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две медицинские кушетки;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десять стульев, включая стулья-вертушки;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один сейф для хранения сильнодействующих медикаментов;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два холодильника;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тр</w:t>
      </w:r>
      <w:r>
        <w:rPr>
          <w:rStyle w:val="xx-small"/>
          <w:rFonts w:eastAsia="Times New Roman"/>
        </w:rPr>
        <w:t>и кровоостанавливающих жгута;</w:t>
      </w:r>
    </w:p>
    <w:p w:rsidR="00000000" w:rsidRDefault="00583A45">
      <w:pPr>
        <w:numPr>
          <w:ilvl w:val="0"/>
          <w:numId w:val="4"/>
        </w:numPr>
        <w:spacing w:after="103"/>
        <w:ind w:left="686"/>
        <w:divId w:val="1748115961"/>
        <w:rPr>
          <w:rFonts w:eastAsia="Times New Roman"/>
        </w:rPr>
      </w:pPr>
      <w:r>
        <w:rPr>
          <w:rStyle w:val="xx-small"/>
          <w:rFonts w:eastAsia="Times New Roman"/>
        </w:rPr>
        <w:t>десять перевязочных индивидуальных пакетов и прочее.</w:t>
      </w:r>
    </w:p>
    <w:p w:rsidR="00583A45" w:rsidRDefault="00583A45">
      <w:pPr>
        <w:divId w:val="1910381789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58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E6700"/>
    <w:multiLevelType w:val="multilevel"/>
    <w:tmpl w:val="73D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25887"/>
    <w:multiLevelType w:val="multilevel"/>
    <w:tmpl w:val="023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B62A6"/>
    <w:multiLevelType w:val="multilevel"/>
    <w:tmpl w:val="A05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80D66"/>
    <w:multiLevelType w:val="multilevel"/>
    <w:tmpl w:val="5FD6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B4153"/>
    <w:rsid w:val="00583A45"/>
    <w:rsid w:val="009B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95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86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26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623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7003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940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8699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2001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831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48415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1789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2018-07-02T06:12:00Z</dcterms:created>
  <dcterms:modified xsi:type="dcterms:W3CDTF">2018-07-02T06:12:00Z</dcterms:modified>
</cp:coreProperties>
</file>