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E7A94">
      <w:pPr>
        <w:pStyle w:val="electron-p"/>
        <w:spacing w:after="280" w:afterAutospacing="1"/>
      </w:pPr>
      <w:r>
        <w:t>Электронный журнал</w:t>
      </w:r>
    </w:p>
    <w:p w:rsidR="00000000" w:rsidRDefault="003B0AD9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3" name="Рисунок 3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E7A94">
      <w:pPr>
        <w:spacing w:after="280" w:afterAutospacing="1"/>
      </w:pPr>
      <w:r>
        <w:br/>
      </w:r>
    </w:p>
    <w:p w:rsidR="00000000" w:rsidRDefault="00FE7A94">
      <w:pPr>
        <w:spacing w:after="280" w:afterAutospacing="1"/>
      </w:pPr>
      <w:r>
        <w:t>Несчастные случаи и профзаболевания / объясните</w:t>
      </w:r>
    </w:p>
    <w:p w:rsidR="00000000" w:rsidRDefault="00FE7A94">
      <w:pPr>
        <w:spacing w:after="280" w:afterAutospacing="1"/>
      </w:pPr>
      <w:r>
        <w:rPr>
          <w:b/>
          <w:bCs/>
        </w:rPr>
        <w:t>Безопасность или право на личное имущество: когда работникам можно запретить использовать мобильные телефоны</w:t>
      </w:r>
    </w:p>
    <w:p w:rsidR="00000000" w:rsidRDefault="00FE7A94">
      <w:pPr>
        <w:spacing w:after="280" w:afterAutospacing="1"/>
      </w:pPr>
      <w:r>
        <w:rPr>
          <w:b/>
          <w:bCs/>
        </w:rPr>
        <w:t>Светлана КУЗНЕЦОВА</w:t>
      </w:r>
      <w:r>
        <w:br/>
        <w:t>начальник отдела охраны труда, промышленной безопаснос</w:t>
      </w:r>
      <w:r>
        <w:t xml:space="preserve">ти и охраны окружающей среды ООО «СПК-комплектация» </w:t>
      </w:r>
    </w:p>
    <w:p w:rsidR="00000000" w:rsidRDefault="00FE7A94">
      <w:pPr>
        <w:spacing w:after="280" w:afterAutospacing="1"/>
      </w:pPr>
      <w:r>
        <w:t>Месяц назад в Ленинградской области рабочий сорвался со строительных лесов. Результат — перелом позвоночника, длительное лечение и многолетняя реабилитация. Причина падения — разговор по мобильному телеф</w:t>
      </w:r>
      <w:r>
        <w:t>ону, во время которого работник оступился. Что делать, если возникает конфликт интересов: сотрудник отстаивает право пользоваться личным имуществом — телефоном, а руководитель запрещает отвлекаться во время работы? Юрист объяснит, как обосновать запрет, а </w:t>
      </w:r>
      <w:r>
        <w:t>специалист по охране труда — как оформить его на практике.</w:t>
      </w:r>
    </w:p>
    <w:p w:rsidR="00000000" w:rsidRDefault="00FE7A94">
      <w:pPr>
        <w:spacing w:after="280" w:afterAutospacing="1"/>
      </w:pPr>
      <w:r>
        <w:t xml:space="preserve">  </w:t>
      </w:r>
    </w:p>
    <w:p w:rsidR="00000000" w:rsidRDefault="00FE7A94">
      <w:pPr>
        <w:pStyle w:val="2"/>
        <w:spacing w:after="280" w:afterAutospacing="1"/>
      </w:pPr>
      <w:r>
        <w:t>Советы специалиста по охране труда</w:t>
      </w:r>
    </w:p>
    <w:p w:rsidR="00000000" w:rsidRDefault="00FE7A94">
      <w:pPr>
        <w:spacing w:after="280" w:afterAutospacing="1"/>
      </w:pPr>
      <w:r>
        <w:t>Любое ограничение на использование работниками своего имущества должно быть законодательно обосновано. Руководитель имеет право запретить использовать мобил</w:t>
      </w:r>
      <w:r>
        <w:t xml:space="preserve">ьный телефон, планшет или слушать музыку в наушниках, если это создает помехи в работе оборудования, сотрудник работает в опасной зоне и от него требуется повышенная концентрация внимания. </w:t>
      </w:r>
    </w:p>
    <w:p w:rsidR="00000000" w:rsidRDefault="00FE7A94">
      <w:pPr>
        <w:spacing w:after="280" w:afterAutospacing="1"/>
      </w:pPr>
      <w:r>
        <w:t>На производстве, где есть неогражденные подвижные элементы оборудо</w:t>
      </w:r>
      <w:r>
        <w:t xml:space="preserve">вания, движущиеся транспортные средства, работник обязан соблюдать повышенные меры безопасности, быть внимательным, а в случае опасности предпринять оперативные действия, чтобы предотвратить аварийную ситуацию.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FE7A94">
            <w:pPr>
              <w:pStyle w:val="example-p"/>
            </w:pPr>
            <w:r>
              <w:rPr>
                <w:b/>
                <w:bCs/>
              </w:rPr>
              <w:lastRenderedPageBreak/>
              <w:t xml:space="preserve">Пример. </w:t>
            </w:r>
            <w:r>
              <w:t>На предприятии, в котором занимаются</w:t>
            </w:r>
            <w:r>
              <w:t xml:space="preserve"> термической обработкой металлов, работодатель обязан оборудовать системы водяного охлаждения, системы местных отсосов, печи и т. п. световой и звуковой сигнализацией (правила по охране труда при термической обработке металлов ПОТ Р М 005‑97, утв. </w:t>
            </w:r>
            <w:r>
              <w:rPr>
                <w:rStyle w:val="Spanlink"/>
                <w:u w:val="single"/>
              </w:rPr>
              <w:t>постанов</w:t>
            </w:r>
            <w:r>
              <w:rPr>
                <w:rStyle w:val="Spanlink"/>
                <w:u w:val="single"/>
              </w:rPr>
              <w:t>лением Минтруда от 29.09.1997 № 48</w:t>
            </w:r>
            <w:r>
              <w:t>). Если сотрудники на таких опасных объектах будут работать в музыкальных наушниках, пользоваться планшетом или разговаривать по телефону, они могут пропустить звуковой или световой сигнал. Такие ситуации приводят к авария</w:t>
            </w:r>
            <w:r>
              <w:t xml:space="preserve">м и несчастным случаям. </w:t>
            </w:r>
          </w:p>
        </w:tc>
      </w:tr>
    </w:tbl>
    <w:p w:rsidR="00000000" w:rsidRDefault="00FE7A94"/>
    <w:p w:rsidR="00000000" w:rsidRDefault="00FE7A94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FE7A94">
      <w:pPr>
        <w:pStyle w:val="H3remark-h3"/>
        <w:spacing w:after="280" w:afterAutospacing="1"/>
      </w:pPr>
      <w:r>
        <w:t>Обратите внимание</w:t>
      </w:r>
    </w:p>
    <w:p w:rsidR="00000000" w:rsidRDefault="00FE7A94">
      <w:pPr>
        <w:pStyle w:val="remark-p"/>
        <w:spacing w:after="280" w:afterAutospacing="1"/>
      </w:pPr>
      <w:r>
        <w:t>Если сотрудник на рабочем месте не соблюдает требования охраны труда, к нему можно применить дисциплинарное воздействие за нарушение производственной дисциплины (</w:t>
      </w:r>
      <w:r>
        <w:rPr>
          <w:rStyle w:val="Spanlink"/>
          <w:u w:val="single"/>
        </w:rPr>
        <w:t>ст. 192 ТК</w:t>
      </w:r>
      <w:r>
        <w:t xml:space="preserve">) </w:t>
      </w:r>
    </w:p>
    <w:p w:rsidR="00000000" w:rsidRDefault="00FE7A94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FE7A94"/>
    <w:p w:rsidR="00000000" w:rsidRDefault="00FE7A94">
      <w:pPr>
        <w:spacing w:after="280" w:afterAutospacing="1"/>
      </w:pPr>
      <w:r>
        <w:rPr>
          <w:b/>
          <w:bCs/>
        </w:rPr>
        <w:t>Как оформить запрет на использо</w:t>
      </w:r>
      <w:r>
        <w:rPr>
          <w:b/>
          <w:bCs/>
        </w:rPr>
        <w:t>вание личной техники во время работы.</w:t>
      </w:r>
      <w:r>
        <w:t xml:space="preserve"> Если во время работы от сотрудника требуется повышенная концентрация внимания и слуха, запретите ему использовать мобильную связь и другие средства на рабочем месте. Внесите информацию в локальные акты предприятия: пра</w:t>
      </w:r>
      <w:r>
        <w:t>вила внутреннего трудового распорядка, инструкции по охране труда, технологическую карту, план производства работ и т. д. (</w:t>
      </w:r>
      <w:r>
        <w:rPr>
          <w:rStyle w:val="Spanlink"/>
          <w:u w:val="single"/>
        </w:rPr>
        <w:t>выписка из правил внутреннего трудового распорядка</w:t>
      </w:r>
      <w:r>
        <w:t>). По личным вопросам работник сможет звонить только во время регламентированных пе</w:t>
      </w:r>
      <w:r>
        <w:t xml:space="preserve">рерывов и перерывов на обед.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FE7A94">
            <w:pPr>
              <w:pStyle w:val="example-p"/>
            </w:pPr>
            <w:r>
              <w:rPr>
                <w:b/>
                <w:bCs/>
              </w:rPr>
              <w:t xml:space="preserve">Пример. </w:t>
            </w:r>
            <w:r>
              <w:t>Перерывы на отдых и обед для сотрудников руководитель предприятия может закрепить в правилах внутреннего трудового распорядка. Например, обед с 13:00 до 14:00 и четыре регламентированных перерыва по 15 минут: с 10:00 д</w:t>
            </w:r>
            <w:r>
              <w:t xml:space="preserve">о 10:15, с 11:45 до 12:00, с 15:00 до 15:15 и с 17:00 до 17:15. Это время работник может использовать по своему усмотрению: отдохнуть, выпить чай, поговорить по телефону, послушать музыку. </w:t>
            </w:r>
          </w:p>
        </w:tc>
      </w:tr>
    </w:tbl>
    <w:p w:rsidR="00000000" w:rsidRDefault="00FE7A94"/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FE7A94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FE7A94">
            <w:pPr>
              <w:pStyle w:val="4"/>
              <w:spacing w:after="280" w:afterAutospacing="1"/>
            </w:pPr>
            <w:r>
              <w:t>Что считать рабочим временем</w:t>
            </w:r>
          </w:p>
          <w:p w:rsidR="00000000" w:rsidRDefault="00FE7A94">
            <w:pPr>
              <w:pStyle w:val="inline-p"/>
            </w:pPr>
            <w:r>
              <w:t>Рабочее время </w:t>
            </w:r>
            <w:r>
              <w:t>— это время, в течение которого работник в соответствии с правилами внутреннего трудового распорядка и условиями трудового договора должен исполнять трудовые обязанности (</w:t>
            </w:r>
            <w:r>
              <w:rPr>
                <w:rStyle w:val="Spanlink"/>
                <w:u w:val="single"/>
              </w:rPr>
              <w:t>ч. 1 ст. 91 ТК</w:t>
            </w:r>
            <w:r>
              <w:t>). В рабочее время сотрудник обязан соблюдать трудовую дисциплину — под</w:t>
            </w:r>
            <w:r>
              <w:t xml:space="preserve">чиняться правилам поведения, установленным не только </w:t>
            </w:r>
            <w:r>
              <w:rPr>
                <w:rStyle w:val="Spanlink"/>
                <w:u w:val="single"/>
              </w:rPr>
              <w:t>Трудовым кодексом</w:t>
            </w:r>
            <w:r>
              <w:t>, но и локальными нормативными актами предприятия (</w:t>
            </w:r>
            <w:r>
              <w:rPr>
                <w:rStyle w:val="Spanlink"/>
                <w:u w:val="single"/>
              </w:rPr>
              <w:t>ч. 2</w:t>
            </w:r>
            <w:r>
              <w:t xml:space="preserve"> ст. 21, </w:t>
            </w:r>
            <w:r>
              <w:rPr>
                <w:rStyle w:val="Spanlink"/>
                <w:u w:val="single"/>
              </w:rPr>
              <w:t>ч. 1</w:t>
            </w:r>
            <w:r>
              <w:t xml:space="preserve"> ст. 189 ТК). </w:t>
            </w:r>
          </w:p>
        </w:tc>
      </w:tr>
    </w:tbl>
    <w:p w:rsidR="00000000" w:rsidRDefault="00FE7A94"/>
    <w:p w:rsidR="00000000" w:rsidRDefault="00FE7A94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FE7A94">
      <w:pPr>
        <w:pStyle w:val="H3remark-h3"/>
        <w:spacing w:after="280" w:afterAutospacing="1"/>
      </w:pPr>
      <w:r>
        <w:t>Словарь</w:t>
      </w:r>
    </w:p>
    <w:p w:rsidR="00000000" w:rsidRDefault="00FE7A94">
      <w:pPr>
        <w:pStyle w:val="remark-p"/>
        <w:spacing w:after="280" w:afterAutospacing="1"/>
      </w:pPr>
      <w:r>
        <w:t>Правила внутреннего трудового распорядка — это локальный нормативный акт, в котором установ</w:t>
      </w:r>
      <w:r>
        <w:t>лены основные обязанности и ответственность сторон трудового договора (</w:t>
      </w:r>
      <w:r>
        <w:rPr>
          <w:rStyle w:val="Spanlink"/>
          <w:u w:val="single"/>
        </w:rPr>
        <w:t>ч. 1 ст. 189 ТК</w:t>
      </w:r>
      <w:r>
        <w:t xml:space="preserve">) </w:t>
      </w:r>
    </w:p>
    <w:p w:rsidR="00000000" w:rsidRDefault="00FE7A94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FE7A94"/>
    <w:p w:rsidR="00000000" w:rsidRDefault="00FE7A94">
      <w:pPr>
        <w:spacing w:after="280" w:afterAutospacing="1"/>
      </w:pPr>
      <w:r>
        <w:t>Чтобы внести в правила внутреннего трудового распорядка дополнительный пункт об ограничении на использование телефона, планшета и другой техники во время работы, сп</w:t>
      </w:r>
      <w:r>
        <w:t xml:space="preserve">ециалисту по охране труда нужно написать обоснованную докладную записку на имя генерального директора. После того как руководитель поставит свою резолюцию, докладную записку направят в отдел кадров. Там кадровики подготовят изменения в правила и ознакомят </w:t>
      </w:r>
      <w:r>
        <w:t>работников с новым приказом об утверждении изменений (</w:t>
      </w:r>
      <w:r>
        <w:rPr>
          <w:rStyle w:val="Spanlink"/>
          <w:u w:val="single"/>
        </w:rPr>
        <w:t>образец докладной записки на имя генерального директора</w:t>
      </w:r>
      <w:r>
        <w:t xml:space="preserve">). </w:t>
      </w:r>
    </w:p>
    <w:p w:rsidR="00000000" w:rsidRDefault="00FE7A94">
      <w:pPr>
        <w:pStyle w:val="3"/>
        <w:spacing w:after="280" w:afterAutospacing="1"/>
      </w:pPr>
      <w:r>
        <w:t>Как проверить, используют ли сотрудники личную технику на рабочем месте</w:t>
      </w:r>
    </w:p>
    <w:p w:rsidR="00000000" w:rsidRDefault="00FE7A94">
      <w:pPr>
        <w:spacing w:after="280" w:afterAutospacing="1"/>
      </w:pPr>
      <w:r>
        <w:t>Если специалист по охране труда во время проверки подразделения заметил</w:t>
      </w:r>
      <w:r>
        <w:t>, что работник на вредном производстве пользуется мобильным телефоном, пишет сообщения или слушает музыку в наушниках, он должен сообщить об этом его непосредственному начальнику. Нарушение трудовой дисциплины нужно включить в предписание, а также написать</w:t>
      </w:r>
      <w:r>
        <w:t xml:space="preserve"> докладную записку на имя руководителя подразделения или генерального директора, если служба охраны труда подчиняется ему напрямую (</w:t>
      </w:r>
      <w:r>
        <w:rPr>
          <w:rStyle w:val="Spanlink"/>
          <w:u w:val="single"/>
        </w:rPr>
        <w:t>образец предписания специалиста по охране труда</w:t>
      </w:r>
      <w:r>
        <w:t>). В докладной записке нужно сослаться на пункт правил, которые сотрудник нар</w:t>
      </w:r>
      <w:r>
        <w:t xml:space="preserve">ушил. Приказ о дисциплинарном наказании — предупреждении или выговоре — составляет отдел кадров. Руководитель, в подчинении которого находится нарушитель, должен провести разъяснительную беседу с работником, </w:t>
      </w:r>
      <w:r>
        <w:lastRenderedPageBreak/>
        <w:t>при необходимости — внеплановый инструктаж по ох</w:t>
      </w:r>
      <w:r>
        <w:t>ране труда (</w:t>
      </w:r>
      <w:r>
        <w:rPr>
          <w:rStyle w:val="Spanlink"/>
          <w:u w:val="single"/>
        </w:rPr>
        <w:t>п. 2.1.6 Порядка обучения, утв. постановлением Минтруда, Минобразования от 13.01.2003 № 1/29</w:t>
      </w:r>
      <w:r>
        <w:t xml:space="preserve">). </w:t>
      </w:r>
    </w:p>
    <w:p w:rsidR="00000000" w:rsidRDefault="00FE7A94">
      <w:r>
        <w:pict>
          <v:rect id="_x0000_i1029" style="width:6in;height:.75pt" o:hralign="center" o:hrstd="t" o:hrnoshade="t" o:hr="t" fillcolor="black" stroked="f">
            <v:path strokeok="f"/>
          </v:rect>
        </w:pict>
      </w:r>
    </w:p>
    <w:p w:rsidR="00000000" w:rsidRDefault="003B0AD9">
      <w:pPr>
        <w:spacing w:after="280" w:afterAutospacing="1"/>
      </w:pPr>
      <w:r>
        <w:rPr>
          <w:noProof/>
        </w:rPr>
        <w:drawing>
          <wp:inline distT="0" distB="0" distL="0" distR="0">
            <wp:extent cx="1990725" cy="18764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E7A94">
      <w:pPr>
        <w:pStyle w:val="H3remark-h3"/>
        <w:spacing w:after="280" w:afterAutospacing="1"/>
      </w:pPr>
      <w:r>
        <w:t>Елена Чершинцева,</w:t>
      </w:r>
    </w:p>
    <w:p w:rsidR="00000000" w:rsidRDefault="00FE7A94">
      <w:pPr>
        <w:pStyle w:val="remark-p"/>
        <w:spacing w:after="280" w:afterAutospacing="1"/>
      </w:pPr>
      <w:r>
        <w:t xml:space="preserve">юрист практики трудового и миграционного права московского офиса юридической компании БАЙТЕН БУРКХАРДТ, к. ю. н. </w:t>
      </w:r>
    </w:p>
    <w:p w:rsidR="00000000" w:rsidRDefault="00FE7A94">
      <w:r>
        <w:pict>
          <v:rect id="_x0000_i1030" style="width:6in;height:.75pt" o:hralign="center" o:hrstd="t" o:hrnoshade="t" o:hr="t" fillcolor="black" stroked="f">
            <v:path strokeok="f"/>
          </v:rect>
        </w:pict>
      </w:r>
    </w:p>
    <w:p w:rsidR="00000000" w:rsidRDefault="00FE7A94"/>
    <w:p w:rsidR="00000000" w:rsidRDefault="00FE7A94">
      <w:pPr>
        <w:pStyle w:val="2"/>
        <w:spacing w:after="280" w:afterAutospacing="1"/>
      </w:pPr>
      <w:r>
        <w:t>Советы юр</w:t>
      </w:r>
      <w:r>
        <w:t>иста</w:t>
      </w:r>
    </w:p>
    <w:p w:rsidR="00000000" w:rsidRDefault="00FE7A94">
      <w:pPr>
        <w:spacing w:after="280" w:afterAutospacing="1"/>
      </w:pPr>
      <w:r>
        <w:t xml:space="preserve">Можно выделить две категории случаев, когда суды признают, что ограничение на использование мобильных телефонов и иных гаджетов ввели на предприятии правомерно. </w:t>
      </w:r>
    </w:p>
    <w:p w:rsidR="00000000" w:rsidRDefault="00FE7A94">
      <w:pPr>
        <w:spacing w:after="280" w:afterAutospacing="1"/>
      </w:pPr>
      <w:r>
        <w:rPr>
          <w:b/>
          <w:bCs/>
        </w:rPr>
        <w:t>Ситуация 1.</w:t>
      </w:r>
      <w:r>
        <w:t xml:space="preserve"> Работодатель обеспечивает безопасные условия труда сотрудников и защиту обору</w:t>
      </w:r>
      <w:r>
        <w:t>дования (</w:t>
      </w:r>
      <w:r>
        <w:rPr>
          <w:rStyle w:val="Spanlink"/>
          <w:u w:val="single"/>
        </w:rPr>
        <w:t>ст. 212 ТК</w:t>
      </w:r>
      <w:r>
        <w:t xml:space="preserve">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FE7A94">
            <w:pPr>
              <w:pStyle w:val="example-p"/>
            </w:pPr>
            <w:r>
              <w:rPr>
                <w:b/>
                <w:bCs/>
              </w:rPr>
              <w:t xml:space="preserve">Пример. </w:t>
            </w:r>
            <w:r>
              <w:t>Слесарь по ремонту технологических установок во время газоопасных работ во взрывоопасной зоне использовал личный мобильный телефон. Запрет на это прописан в инструкции по эксплуатации радиоэлектронных средств связи предприяти</w:t>
            </w:r>
            <w:r>
              <w:t>я. Начальник участка, ответственный за проведение работ, заметил, что сотрудник разговаривает по мобильному телефону, остановил работу и аннулировал наряд-допуск. Работодатель привлек нарушителя к дисциплинарному взысканию в виде выговора. Слесарь не согла</w:t>
            </w:r>
            <w:r>
              <w:t xml:space="preserve">сился с таким наказанием и обратился в суд. Он попросил отменить дисциплинарное взыскание </w:t>
            </w:r>
            <w:r>
              <w:lastRenderedPageBreak/>
              <w:t>и выплатить компенсацию морального вреда. Суд изучил все обстоятельства дела и отказал в удовлетворении требований (</w:t>
            </w:r>
            <w:r>
              <w:rPr>
                <w:rStyle w:val="Spanlink"/>
                <w:u w:val="single"/>
              </w:rPr>
              <w:t>апелляционное определение Рязанского областного су</w:t>
            </w:r>
            <w:r>
              <w:rPr>
                <w:rStyle w:val="Spanlink"/>
                <w:u w:val="single"/>
              </w:rPr>
              <w:t>да от 17.12.2014 № 33–2488</w:t>
            </w:r>
            <w:r>
              <w:t xml:space="preserve">). </w:t>
            </w:r>
          </w:p>
        </w:tc>
      </w:tr>
    </w:tbl>
    <w:p w:rsidR="00000000" w:rsidRDefault="00FE7A94"/>
    <w:p w:rsidR="00000000" w:rsidRDefault="00FE7A94">
      <w:pPr>
        <w:spacing w:after="280" w:afterAutospacing="1"/>
      </w:pPr>
      <w:r>
        <w:rPr>
          <w:b/>
          <w:bCs/>
        </w:rPr>
        <w:t>Ситуация 2.</w:t>
      </w:r>
      <w:r>
        <w:t xml:space="preserve"> Работодатель защищает конфиденциальную, коммерческую или другую охраняемую информацию.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FE7A94">
            <w:pPr>
              <w:pStyle w:val="example-p"/>
              <w:spacing w:after="280" w:afterAutospacing="1"/>
            </w:pPr>
            <w:r>
              <w:rPr>
                <w:b/>
                <w:bCs/>
              </w:rPr>
              <w:t xml:space="preserve">Пример. </w:t>
            </w:r>
            <w:r>
              <w:t>Руководителя отдела одного из банков неоднократно привлекали к дисциплинарным взысканиям. В очередной раз, когда ей </w:t>
            </w:r>
            <w:r>
              <w:t>вручали требование с просьбой предоставить объяснения о нарушении трудовой дисциплины, сотрудница начала вести видеозапись на телефон. По правилам внутреннего трудового распорядка организации (далее — ПВТР) записывать разговоры других работников на мобильн</w:t>
            </w:r>
            <w:r>
              <w:t>ые телефоны в помещении банка сотрудникам запрещено. Руководитель банка принял решение уволить руководителя отдела (</w:t>
            </w:r>
            <w:r>
              <w:rPr>
                <w:rStyle w:val="Spanlink"/>
                <w:u w:val="single"/>
              </w:rPr>
              <w:t>п. 5 ч. 1 ст. 81 ТК</w:t>
            </w:r>
            <w:r>
              <w:t xml:space="preserve">). Она с таким решением не согласилась и обратилась в суд. </w:t>
            </w:r>
          </w:p>
          <w:p w:rsidR="00000000" w:rsidRDefault="00FE7A94">
            <w:pPr>
              <w:pStyle w:val="example-p"/>
            </w:pPr>
            <w:r>
              <w:t>Суд признал, что запись на мобильный телефон в здании банка —</w:t>
            </w:r>
            <w:r>
              <w:t xml:space="preserve"> это нарушение ПВТР и подтвердил, что работодатель правомерно привлек работника к дисциплинарной ответственности за видеосъемку (</w:t>
            </w:r>
            <w:r>
              <w:rPr>
                <w:rStyle w:val="Spanlink"/>
                <w:u w:val="single"/>
              </w:rPr>
              <w:t>апелляционное определение Московского городского суда от 26.10.2016 по делу № 33–43079/2016</w:t>
            </w:r>
            <w:r>
              <w:t xml:space="preserve">). </w:t>
            </w:r>
          </w:p>
        </w:tc>
      </w:tr>
    </w:tbl>
    <w:p w:rsidR="00000000" w:rsidRDefault="00FE7A94"/>
    <w:p w:rsidR="00000000" w:rsidRDefault="00FE7A94">
      <w:pPr>
        <w:spacing w:after="280" w:afterAutospacing="1"/>
      </w:pPr>
      <w:r>
        <w:t>Если с учетом специфики органи</w:t>
      </w:r>
      <w:r>
        <w:t>зации нужно детально регламентировать ограничение на использование мобильной связи, издайте отдельный локальный акт или включите соответствующие положения в существующий. В документе укажите категории или перечни должностей работников, на которые распростр</w:t>
      </w:r>
      <w:r>
        <w:t xml:space="preserve">аняется ограничение. </w:t>
      </w:r>
    </w:p>
    <w:p w:rsidR="00000000" w:rsidRDefault="00FE7A94">
      <w:pPr>
        <w:spacing w:after="280" w:afterAutospacing="1"/>
      </w:pPr>
      <w:r>
        <w:t xml:space="preserve">Некоторые регионы устанавливают для предприятий определенных отраслей промышленности ограничение на использование мобильных телефонов на рабочем месте. Например, в Кемеровской области в организациях угольной промышленности сотрудника </w:t>
      </w:r>
      <w:r>
        <w:t>могут уволить за однократное грубое нарушение трудовых обязанностей, в том числе за то, что он пронес на место работы мобильный телефон (</w:t>
      </w:r>
      <w:r>
        <w:rPr>
          <w:rStyle w:val="Spanlink"/>
          <w:u w:val="single"/>
        </w:rPr>
        <w:t>закон Кемеровской области от 30.05.2007 № 61-ОЗ «Об усилении ответственности за нарушение условий безопасности и охраны</w:t>
      </w:r>
      <w:r>
        <w:rPr>
          <w:rStyle w:val="Spanlink"/>
          <w:u w:val="single"/>
        </w:rPr>
        <w:t xml:space="preserve"> труда в организациях угольной промышленности»</w:t>
      </w:r>
      <w:r>
        <w:t xml:space="preserve">) </w:t>
      </w:r>
    </w:p>
    <w:p w:rsidR="00000000" w:rsidRDefault="00FE7A94">
      <w:pPr>
        <w:pStyle w:val="strong"/>
        <w:spacing w:after="280" w:afterAutospacing="1"/>
      </w:pPr>
      <w:r>
        <w:t xml:space="preserve">Предписание специалиста по охране труда </w:t>
      </w:r>
    </w:p>
    <w:p w:rsidR="00000000" w:rsidRDefault="003B0AD9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61722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E7A94">
      <w:pPr>
        <w:pStyle w:val="strong"/>
        <w:spacing w:after="280" w:afterAutospacing="1"/>
      </w:pPr>
      <w:r>
        <w:t xml:space="preserve">Докладная записка на имя генерального директора </w:t>
      </w:r>
    </w:p>
    <w:p w:rsidR="00000000" w:rsidRDefault="003B0AD9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5619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E7A94">
      <w:pPr>
        <w:pStyle w:val="strong"/>
        <w:spacing w:after="280" w:afterAutospacing="1"/>
      </w:pPr>
      <w:r>
        <w:t>Выписка из Правил внутреннего трудового распоряд</w:t>
      </w:r>
      <w:r>
        <w:t xml:space="preserve">ка </w:t>
      </w:r>
    </w:p>
    <w:p w:rsidR="00000000" w:rsidRDefault="003B0AD9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4981575" cy="58007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B0AD9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267325" cy="62960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B0AD9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4876800" cy="363855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A94" w:rsidRDefault="00FE7A94">
      <w:pPr>
        <w:spacing w:after="280" w:afterAutospacing="1"/>
      </w:pPr>
      <w:r>
        <w:t xml:space="preserve">  </w:t>
      </w:r>
    </w:p>
    <w:sectPr w:rsidR="00FE7A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3B0AD9"/>
    <w:rsid w:val="00FE7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2018-07-03T06:47:00Z</dcterms:created>
  <dcterms:modified xsi:type="dcterms:W3CDTF">2018-07-03T06:47:00Z</dcterms:modified>
</cp:coreProperties>
</file>