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341673">
      <w:pPr>
        <w:pStyle w:val="electron-p"/>
        <w:spacing w:after="280" w:afterAutospacing="1"/>
      </w:pPr>
      <w:r>
        <w:t>Электронный журнал</w:t>
      </w:r>
    </w:p>
    <w:p w:rsidR="00000000" w:rsidRDefault="009F38C3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3" name="Рисунок 3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41673">
      <w:pPr>
        <w:spacing w:after="280" w:afterAutospacing="1"/>
      </w:pPr>
      <w:r>
        <w:t>Несчастные случаи и профзаболевания / особенности расследования</w:t>
      </w:r>
    </w:p>
    <w:p w:rsidR="00000000" w:rsidRDefault="00341673">
      <w:pPr>
        <w:spacing w:after="280" w:afterAutospacing="1"/>
      </w:pPr>
      <w:r>
        <w:rPr>
          <w:b/>
          <w:bCs/>
        </w:rPr>
        <w:t>Сложные ситуации в расследованиях: советы от инспектора ГИТ</w:t>
      </w:r>
    </w:p>
    <w:p w:rsidR="00000000" w:rsidRDefault="00341673">
      <w:pPr>
        <w:spacing w:after="280" w:afterAutospacing="1"/>
      </w:pPr>
      <w:r>
        <w:rPr>
          <w:b/>
          <w:bCs/>
        </w:rPr>
        <w:t>Андрей КРИНИЦЫН</w:t>
      </w:r>
      <w:r>
        <w:br/>
        <w:t xml:space="preserve">главный государственный инспектор по правовым вопросам в Республике Бурятия </w:t>
      </w:r>
    </w:p>
    <w:p w:rsidR="00000000" w:rsidRDefault="00341673">
      <w:pPr>
        <w:spacing w:after="280" w:afterAutospacing="1"/>
      </w:pPr>
      <w:r>
        <w:t>Во время расс</w:t>
      </w:r>
      <w:r>
        <w:t>ледования несчастных случаев специалисты по охране труда сталкиваются с нетипичными ситуациями, которые вызывают много вопросов. Мы выбрали три реальные истории и попросили инспектора ГИТ их прокомментировать. Из статьи вы узнаете, что делать, если пострад</w:t>
      </w:r>
      <w:r>
        <w:t>авшими оказались иностранный работник или директор организации, и как поступить, если у членов комиссии по расследованию несчастного случая есть особое мнение.</w:t>
      </w:r>
    </w:p>
    <w:p w:rsidR="00000000" w:rsidRDefault="00341673">
      <w:pPr>
        <w:pStyle w:val="2"/>
        <w:spacing w:after="280" w:afterAutospacing="1"/>
      </w:pPr>
      <w:r>
        <w:t xml:space="preserve">Несчастный случай с иностранным работником </w:t>
      </w:r>
    </w:p>
    <w:p w:rsidR="00000000" w:rsidRDefault="00341673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341673">
      <w:pPr>
        <w:pStyle w:val="H3remark-h3"/>
        <w:spacing w:after="280" w:afterAutospacing="1"/>
      </w:pPr>
      <w:r>
        <w:t>Обратите внимание</w:t>
      </w:r>
    </w:p>
    <w:p w:rsidR="00000000" w:rsidRDefault="00341673">
      <w:pPr>
        <w:pStyle w:val="remark-p"/>
        <w:spacing w:after="280" w:afterAutospacing="1"/>
      </w:pPr>
      <w:r>
        <w:t>За привлечение к работе мигра</w:t>
      </w:r>
      <w:r>
        <w:t>нта без заключения трудового договора юридическое лицо оштрафуют на сумму от 50 000 до 100 000 руб. (</w:t>
      </w:r>
      <w:r>
        <w:rPr>
          <w:rStyle w:val="Spanlink"/>
          <w:u w:val="single"/>
        </w:rPr>
        <w:t>ч. 4 ст. 5.27</w:t>
      </w:r>
      <w:r>
        <w:t xml:space="preserve"> КоАП) </w:t>
      </w:r>
    </w:p>
    <w:p w:rsidR="00000000" w:rsidRDefault="00341673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341673"/>
    <w:p w:rsidR="00000000" w:rsidRDefault="00341673">
      <w:pPr>
        <w:spacing w:after="280" w:afterAutospacing="1"/>
      </w:pPr>
      <w:r>
        <w:rPr>
          <w:b/>
          <w:bCs/>
        </w:rPr>
        <w:t>Обстоятельства.</w:t>
      </w:r>
      <w:r>
        <w:t xml:space="preserve"> Строительная организация приняла на работу гражданина Китая Ли (все фамилии изменены). У нового сотрудника было офи</w:t>
      </w:r>
      <w:r>
        <w:t>циальное разрешение на работу. Его приняли на должность каменщика, заключили трудовой договор с записью в трудовой книжке. До начала работы Ли прошел предварительный медосмотр. С ним провели обучение по охране труда, но средствами защиты не обеспечили — за</w:t>
      </w:r>
      <w:r>
        <w:t xml:space="preserve">писи об этом в личной карточке учета выдачи средств индивидуальной защиты нет. </w:t>
      </w:r>
    </w:p>
    <w:p w:rsidR="00000000" w:rsidRDefault="00341673">
      <w:pPr>
        <w:spacing w:after="280" w:afterAutospacing="1"/>
      </w:pPr>
      <w:r>
        <w:t>Спустя два месяца Ли и еще двух сотрудников направили на строительный объект устанавливать опалубки для колонн. Для выполнения работы Ли понадобился молоток. Инструмент он увид</w:t>
      </w:r>
      <w:r>
        <w:t xml:space="preserve">ел на одной из четырехметровых колонн. Сотрудник </w:t>
      </w:r>
      <w:r>
        <w:lastRenderedPageBreak/>
        <w:t>решил не использовать лестницу. Он полез вверх по перекладинам, взял молоток, но не удержался на высоте и упал на землю. Коллеги услышали крик, помогли пострадавшему и вызвали скорую помощь. В больнице Ли по</w:t>
      </w:r>
      <w:r>
        <w:t xml:space="preserve">ставили диагноз «перелом таза, сотрясение головного мозга и перелом челюсти». Степень тяжести повреждений «тяжелая». </w:t>
      </w:r>
    </w:p>
    <w:p w:rsidR="00000000" w:rsidRDefault="00341673">
      <w:pPr>
        <w:spacing w:after="280" w:afterAutospacing="1"/>
      </w:pPr>
      <w:r>
        <w:t>Работодатель провел расследование. Несчастный случай признали производственной травмой.</w:t>
      </w:r>
    </w:p>
    <w:p w:rsidR="00000000" w:rsidRDefault="00341673">
      <w:pPr>
        <w:spacing w:after="280" w:afterAutospacing="1"/>
      </w:pPr>
      <w:r>
        <w:rPr>
          <w:b/>
          <w:bCs/>
        </w:rPr>
        <w:t>Результаты расследования.</w:t>
      </w:r>
      <w:r>
        <w:t xml:space="preserve"> Генеральный директор ком</w:t>
      </w:r>
      <w:r>
        <w:t xml:space="preserve">пании нарушил требования статей </w:t>
      </w:r>
      <w:r>
        <w:rPr>
          <w:rStyle w:val="Spanlink"/>
          <w:u w:val="single"/>
        </w:rPr>
        <w:t>22</w:t>
      </w:r>
      <w:r>
        <w:t xml:space="preserve">, </w:t>
      </w:r>
      <w:r>
        <w:rPr>
          <w:rStyle w:val="Spanlink"/>
          <w:u w:val="single"/>
        </w:rPr>
        <w:t>212</w:t>
      </w:r>
      <w:r>
        <w:t xml:space="preserve">, </w:t>
      </w:r>
      <w:r>
        <w:rPr>
          <w:rStyle w:val="Spanlink"/>
          <w:u w:val="single"/>
        </w:rPr>
        <w:t>221</w:t>
      </w:r>
      <w:r>
        <w:t xml:space="preserve"> ТК: </w:t>
      </w:r>
    </w:p>
    <w:p w:rsidR="00000000" w:rsidRDefault="00341673">
      <w:pPr>
        <w:pStyle w:val="Ul"/>
        <w:numPr>
          <w:ilvl w:val="0"/>
          <w:numId w:val="1"/>
        </w:numPr>
      </w:pPr>
      <w:r>
        <w:t>не обеспечил безопасность сотрудника, когда он применял в работе инструменты;</w:t>
      </w:r>
    </w:p>
    <w:p w:rsidR="00000000" w:rsidRDefault="00341673">
      <w:pPr>
        <w:pStyle w:val="Ul"/>
        <w:numPr>
          <w:ilvl w:val="0"/>
          <w:numId w:val="1"/>
        </w:numPr>
      </w:pPr>
      <w:r>
        <w:t>не проконтролировал, соблюдает ли работник правила охраны труда;</w:t>
      </w:r>
    </w:p>
    <w:p w:rsidR="00000000" w:rsidRDefault="00341673">
      <w:pPr>
        <w:pStyle w:val="Ul"/>
        <w:numPr>
          <w:ilvl w:val="0"/>
          <w:numId w:val="1"/>
        </w:numPr>
        <w:spacing w:after="280" w:afterAutospacing="1"/>
      </w:pPr>
      <w:r>
        <w:t>не обеспечил сотрудника специальной одеждой, специальной обувью</w:t>
      </w:r>
      <w:r>
        <w:t xml:space="preserve"> и другими средствами индивидуальной защиты. </w:t>
      </w:r>
    </w:p>
    <w:p w:rsidR="00000000" w:rsidRDefault="00341673">
      <w:pPr>
        <w:spacing w:after="280" w:afterAutospacing="1"/>
      </w:pPr>
      <w:r>
        <w:rPr>
          <w:b/>
          <w:bCs/>
        </w:rPr>
        <w:t xml:space="preserve">Советы по расследованию. </w:t>
      </w:r>
      <w:r>
        <w:t xml:space="preserve">При расследовании несчастного случая с иностранным сотрудником нужно учитывать, насколько хорошо он, его представители или родственники владеют русским языком. </w:t>
      </w:r>
    </w:p>
    <w:p w:rsidR="00000000" w:rsidRDefault="00341673">
      <w:pPr>
        <w:spacing w:after="280" w:afterAutospacing="1"/>
      </w:pPr>
      <w:r>
        <w:t>В случае с китайским сот</w:t>
      </w:r>
      <w:r>
        <w:t>рудником Ли работодатель поступил грамотно — он включил в комиссию по расследованию несчастного случая переводчика. Рекомендую при расследовании заверять у нотариуса любые переводы документов, например, извещение родственников пострадавшего. Это подтвердит</w:t>
      </w:r>
      <w:r>
        <w:t xml:space="preserve"> подлинность и достоверность изложенной в документах информации. </w:t>
      </w:r>
    </w:p>
    <w:p w:rsidR="00000000" w:rsidRDefault="00341673">
      <w:pPr>
        <w:spacing w:after="280" w:afterAutospacing="1"/>
      </w:pPr>
      <w:r>
        <w:t xml:space="preserve">Несчастный случай с иностранными гражданами, которые работают на предприятии нелегально, тоже нужно расследовать. К таким нелегалам относятся и иностранные сотрудники, у которых закончилось </w:t>
      </w:r>
      <w:r>
        <w:t>действие патента, и те, кто работает не по профессии, указанной в патенте. Комиссия не свяжет такой несчастный случай с производством, так как у работодателя с нелегалом нет трудовых отношений, и за пострадавшего сотрудника он не платит в ФСС страховые взн</w:t>
      </w:r>
      <w:r>
        <w:t>осы. Если инспектор ГИТ во время расследования несчастного случая обнаружит нелегальных мигрантов, он незамедлительно сообщит об этом в управление миграции МВД (</w:t>
      </w:r>
      <w:r>
        <w:rPr>
          <w:rStyle w:val="Spanlink"/>
          <w:u w:val="single"/>
        </w:rPr>
        <w:t>ст. 355</w:t>
      </w:r>
      <w:r>
        <w:t xml:space="preserve"> ТК). В этом случае в отношении пострадавшего сотрудника и других незаконно работающих б</w:t>
      </w:r>
      <w:r>
        <w:t>удет принято решение об административном выдворении за пределы РФ. За работу нелегала юридическое лицо оштрафуют на сумму от 400 000 до 1 000 000 руб., а также могут приостановить деятельность предприятия на период от 14 до 90 суток. При этом наказать могу</w:t>
      </w:r>
      <w:r>
        <w:t>т за каждого иностранного гражданина или лица без гражданства отдельно (</w:t>
      </w:r>
      <w:r>
        <w:rPr>
          <w:rStyle w:val="Spanlink"/>
          <w:u w:val="single"/>
        </w:rPr>
        <w:t>ст. 18.15</w:t>
      </w:r>
      <w:r>
        <w:t xml:space="preserve"> КоАП).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vAlign w:val="center"/>
          </w:tcPr>
          <w:p w:rsidR="00000000" w:rsidRDefault="00341673">
            <w:pPr>
              <w:pStyle w:val="H3inline-h3"/>
              <w:spacing w:after="280" w:afterAutospacing="1"/>
            </w:pPr>
            <w:r>
              <w:lastRenderedPageBreak/>
              <w:t>КОММЕНТАРИЙ РЕДАКЦИИ</w:t>
            </w:r>
          </w:p>
          <w:p w:rsidR="00000000" w:rsidRDefault="00341673">
            <w:pPr>
              <w:pStyle w:val="inline-p"/>
              <w:spacing w:after="280" w:afterAutospacing="1"/>
            </w:pPr>
            <w:r>
              <w:t>Работодатель не может взять иностранного специалиста, если у него нет разрешения на работу или патента. Эти документы с 2016 года выдают в Главно</w:t>
            </w:r>
            <w:r>
              <w:t xml:space="preserve">м управлении миграции МВД. Разрешение выдают на год и только для работы по определенной профессии в одном определенном субъекте страны у конкретного работодателя. </w:t>
            </w:r>
          </w:p>
          <w:p w:rsidR="00000000" w:rsidRDefault="00341673">
            <w:pPr>
              <w:pStyle w:val="inline-p"/>
              <w:spacing w:after="280" w:afterAutospacing="1"/>
            </w:pPr>
            <w:r>
              <w:t>Разрешение нужно получать, если работник приехал в Россию из Узбекистана, Таджикистана, Молд</w:t>
            </w:r>
            <w:r>
              <w:t xml:space="preserve">овы, Азербайджана, Украины и других стран. </w:t>
            </w:r>
          </w:p>
          <w:p w:rsidR="00000000" w:rsidRDefault="00341673">
            <w:pPr>
              <w:pStyle w:val="inline-p"/>
            </w:pPr>
            <w:r>
              <w:t>Граждане Казахстана и Белоруссии устраиваются на работу в том же порядке, что и россияне.</w:t>
            </w:r>
          </w:p>
        </w:tc>
      </w:tr>
    </w:tbl>
    <w:p w:rsidR="00000000" w:rsidRDefault="00341673"/>
    <w:p w:rsidR="00000000" w:rsidRDefault="00341673">
      <w:pPr>
        <w:pStyle w:val="2"/>
        <w:spacing w:after="280" w:afterAutospacing="1"/>
      </w:pPr>
      <w:r>
        <w:t xml:space="preserve">Несчастный случай с директором организации </w:t>
      </w:r>
    </w:p>
    <w:p w:rsidR="00000000" w:rsidRDefault="00341673"/>
    <w:p w:rsidR="00000000" w:rsidRDefault="00341673">
      <w:pPr>
        <w:spacing w:after="280" w:afterAutospacing="1"/>
      </w:pPr>
      <w:r>
        <w:rPr>
          <w:b/>
          <w:bCs/>
        </w:rPr>
        <w:t>Обсто</w:t>
      </w:r>
      <w:r>
        <w:rPr>
          <w:b/>
          <w:bCs/>
        </w:rPr>
        <w:t xml:space="preserve">ятельства. </w:t>
      </w:r>
      <w:r>
        <w:t>Организация «Луч» занималась розничной торговлей строительных материалов. Директор Сергеев вместе с водителем Кузьминым приехали за товаром к индивидуальному предпринимателю Кондратьеву. Их груз, древесностружечные плиты, находился в полуприцепе</w:t>
      </w:r>
      <w:r>
        <w:t xml:space="preserve"> автомобиля. Сергеев попросил Кондратьева довести груз до склада организации «Луч». Индивидуальный предприниматель отказался, объяснив, что груз не закреплен и в пути может упасть и повредиться. Но Сергеев настоял на своем и залез в полуприцеп. Водитель ди</w:t>
      </w:r>
      <w:r>
        <w:t>ректора Кузьмин сел в кабину к Кондратьеву, чтобы показывать дорогу до склада. Во время движения по маршруту плиты упали на Сергеева. Когда машина доехала до склада, Кузьмин и Кондратьев обнаружили, что директор лежит в крови. Они перенесли пострадавшего в</w:t>
      </w:r>
      <w:r>
        <w:t xml:space="preserve"> легковой автомобиль и доставили в больницу. Врачи поставили директору диагноз «перелом свода и основания черепа, ушиб головного мозга, перелом четырех ребер». Травму отнесли к категории «тяжелая». Несчастный случай признали производственной травмой. </w:t>
      </w:r>
    </w:p>
    <w:p w:rsidR="00000000" w:rsidRDefault="00341673">
      <w:pPr>
        <w:spacing w:after="280" w:afterAutospacing="1"/>
      </w:pPr>
      <w:r>
        <w:rPr>
          <w:b/>
          <w:bCs/>
        </w:rPr>
        <w:t>Резу</w:t>
      </w:r>
      <w:r>
        <w:rPr>
          <w:b/>
          <w:bCs/>
        </w:rPr>
        <w:t>льтаты расследования.</w:t>
      </w:r>
      <w:r>
        <w:t xml:space="preserve"> Директор из-за тяжести травмы не смог своевременно известить о наступившем несчастном случае и создать комиссию по расследованию. Поэтому расследование провел инспектор ГИТ. На основании его заключения составили акт Н-1. </w:t>
      </w:r>
    </w:p>
    <w:p w:rsidR="00000000" w:rsidRDefault="00341673">
      <w:pPr>
        <w:spacing w:after="280" w:afterAutospacing="1"/>
      </w:pPr>
      <w:r>
        <w:lastRenderedPageBreak/>
        <w:t>Виновным в н</w:t>
      </w:r>
      <w:r>
        <w:t xml:space="preserve">есчастном случае признали двух человек: индивидуального предпринимателя Кондратьева и пострадавшего директора компании «Луч» Сергеева. Кондратьев не закрепил груз при перевозке и проигнорировал требования по перевозке людей. </w:t>
      </w:r>
    </w:p>
    <w:p w:rsidR="00000000" w:rsidRDefault="00341673">
      <w:pPr>
        <w:spacing w:after="280" w:afterAutospacing="1"/>
      </w:pPr>
      <w:r>
        <w:t>Кондратьев нарушил требования:</w:t>
      </w:r>
    </w:p>
    <w:p w:rsidR="00000000" w:rsidRDefault="00341673">
      <w:pPr>
        <w:pStyle w:val="Ul"/>
        <w:numPr>
          <w:ilvl w:val="0"/>
          <w:numId w:val="2"/>
        </w:numPr>
      </w:pPr>
      <w:r>
        <w:rPr>
          <w:rStyle w:val="Spanlink"/>
          <w:u w:val="single"/>
        </w:rPr>
        <w:t>пункта 2.4.1.3</w:t>
      </w:r>
      <w:r>
        <w:t xml:space="preserve"> Межотраслевых правил по охране труда на автомобильном транспорте (утв. постановлением Минтруда от 12.05.2003 № 28); </w:t>
      </w:r>
    </w:p>
    <w:p w:rsidR="00000000" w:rsidRDefault="00341673">
      <w:pPr>
        <w:pStyle w:val="Ul"/>
        <w:numPr>
          <w:ilvl w:val="0"/>
          <w:numId w:val="2"/>
        </w:numPr>
        <w:spacing w:after="280" w:afterAutospacing="1"/>
      </w:pPr>
      <w:r>
        <w:rPr>
          <w:rStyle w:val="Spanlink"/>
          <w:u w:val="single"/>
        </w:rPr>
        <w:t>пункта 22.8</w:t>
      </w:r>
      <w:r>
        <w:t xml:space="preserve"> Правил дорожного движения (утв. постановлением Правительства от 23.10.1993 № 1090). </w:t>
      </w:r>
    </w:p>
    <w:p w:rsidR="00000000" w:rsidRDefault="00341673">
      <w:pPr>
        <w:spacing w:after="280" w:afterAutospacing="1"/>
      </w:pPr>
      <w:r>
        <w:t>Директор Сергеев нарушил т</w:t>
      </w:r>
      <w:r>
        <w:t xml:space="preserve">ребования статей </w:t>
      </w:r>
      <w:r>
        <w:rPr>
          <w:rStyle w:val="Spanlink"/>
          <w:u w:val="single"/>
        </w:rPr>
        <w:t>212</w:t>
      </w:r>
      <w:r>
        <w:t xml:space="preserve">, </w:t>
      </w:r>
      <w:r>
        <w:rPr>
          <w:rStyle w:val="Spanlink"/>
          <w:u w:val="single"/>
        </w:rPr>
        <w:t>225</w:t>
      </w:r>
      <w:r>
        <w:t xml:space="preserve"> ТК; </w:t>
      </w:r>
      <w:r>
        <w:rPr>
          <w:rStyle w:val="Spanlink"/>
          <w:u w:val="single"/>
        </w:rPr>
        <w:t>пункта 2.3.1</w:t>
      </w:r>
      <w:r>
        <w:t xml:space="preserve"> Порядка обучения по охране труда (утв. постановлением Минтруда, Минобразования от 13.01.2003 № 1/29). </w:t>
      </w:r>
    </w:p>
    <w:p w:rsidR="00000000" w:rsidRDefault="00341673">
      <w:pPr>
        <w:spacing w:after="280" w:afterAutospacing="1"/>
      </w:pPr>
      <w:r>
        <w:rPr>
          <w:b/>
          <w:bCs/>
        </w:rPr>
        <w:t>Советы по расследованию.</w:t>
      </w:r>
      <w:r>
        <w:t xml:space="preserve"> Если несчастный случай произошел с директором предприятия, он во время расследования </w:t>
      </w:r>
      <w:r>
        <w:t>имеет право издавать приказы, даже находясь на больничном (</w:t>
      </w:r>
      <w:r>
        <w:rPr>
          <w:rStyle w:val="Spanlink"/>
          <w:u w:val="single"/>
        </w:rPr>
        <w:t>постановление Президиума ВАС от 09.02.99 № 6164/98</w:t>
      </w:r>
      <w:r>
        <w:t>). Пострадавший директор может подписывать приказы о создании комиссии по расследованию несчастного случая и другие необходимые для расследования д</w:t>
      </w:r>
      <w:r>
        <w:t xml:space="preserve">окументы. Исключения — утверждение акта формы Н-1 и приказ о выделении материальной помощи пострадавшему (самому себе). </w:t>
      </w:r>
    </w:p>
    <w:p w:rsidR="00000000" w:rsidRDefault="00341673">
      <w:pPr>
        <w:spacing w:after="280" w:afterAutospacing="1"/>
      </w:pPr>
      <w:r>
        <w:t>Заранее предусмотрите вероятность, что руководитель компании во время несчастного случая может погибнуть или получить тяжелые поврежден</w:t>
      </w:r>
      <w:r>
        <w:t xml:space="preserve">ия. Директор должен на этот случай назначить приказом сотрудника, который будет временно исполнять обязанности руководителя организации со строго определенным кругом полномочий: извещение о несчастном случае, создание комиссии и т. д. </w:t>
      </w:r>
    </w:p>
    <w:p w:rsidR="00000000" w:rsidRDefault="00341673">
      <w:pPr>
        <w:spacing w:after="280" w:afterAutospacing="1"/>
      </w:pPr>
      <w:r>
        <w:t>Использовать для так</w:t>
      </w:r>
      <w:r>
        <w:t>их случаев доверенность на другого сотрудника или других представителей директора не получится — если случай смертельный, доверенность автоматически утратит силу.</w:t>
      </w:r>
    </w:p>
    <w:p w:rsidR="00000000" w:rsidRDefault="00341673">
      <w:pPr>
        <w:pStyle w:val="2"/>
        <w:spacing w:after="280" w:afterAutospacing="1"/>
      </w:pPr>
      <w:r>
        <w:t xml:space="preserve">Особое мнение членов комиссии по расследованию несчастного случая </w:t>
      </w:r>
    </w:p>
    <w:p w:rsidR="00000000" w:rsidRDefault="00341673"/>
    <w:p w:rsidR="00000000" w:rsidRDefault="00341673">
      <w:pPr>
        <w:spacing w:after="280" w:afterAutospacing="1"/>
      </w:pPr>
      <w:r>
        <w:rPr>
          <w:b/>
          <w:bCs/>
        </w:rPr>
        <w:lastRenderedPageBreak/>
        <w:t>Обстоятельства.</w:t>
      </w:r>
      <w:r>
        <w:t xml:space="preserve"> Сотрудник Дмитриев устроился водителем на испытательный срок в компанию, которая занимается заготовкой и вывозом леса. Спустя два месяца, утром, он как об</w:t>
      </w:r>
      <w:r>
        <w:t>ычно прошел предрейсовый медицинский осмотр и приступил к работе. Дмитриев приехал в лесничество, машинист-крановщик Савельев загрузил лесоматериал в машину выше положенного уровня. Вместо того чтобы подъехать на разгрузочную площадку склада и поставить св</w:t>
      </w:r>
      <w:r>
        <w:t>ой лесовоз под разгрузку, Дмитриев встал возле пункта приемки древесины. Он начал отстегивать увязочный стяжной ремень, но в безопасности своих действий не убедился. Так как лесовоз был перегружен, крайнее бревно упало и ударило Дмитриева по шее и спине. О</w:t>
      </w:r>
      <w:r>
        <w:t xml:space="preserve">н получил травмы, не совместимые с жизнью. </w:t>
      </w:r>
    </w:p>
    <w:p w:rsidR="00000000" w:rsidRDefault="00341673">
      <w:pPr>
        <w:spacing w:after="280" w:afterAutospacing="1"/>
      </w:pPr>
      <w:r>
        <w:rPr>
          <w:b/>
          <w:bCs/>
        </w:rPr>
        <w:t>Результаты расследования.</w:t>
      </w:r>
      <w:r>
        <w:t xml:space="preserve"> Комиссия работодателя провела расследование и определила, что пострадавший нарушил требования безопасности при эксплуатации транспортных средств. В действиях Дмитриева установили факт гр</w:t>
      </w:r>
      <w:r>
        <w:t>убой неосторожности — 50%. Об этом сделали запись в акте расследования. Из-за разногласий между членами комиссии в вопросе установления причин несчастного случая и лиц, допустивших нарушения требований охраны труда, сроки расследования продлили на 15 дней.</w:t>
      </w:r>
      <w:r>
        <w:t xml:space="preserve"> </w:t>
      </w:r>
    </w:p>
    <w:p w:rsidR="00000000" w:rsidRDefault="00341673">
      <w:pPr>
        <w:spacing w:after="280" w:afterAutospacing="1"/>
      </w:pPr>
      <w:r>
        <w:t>Часть членов комиссии — инспектор ГИТ, представитель ФСС и член профсоюза — указали в акте Н-1 особое мнение. Они отметили, что в действиях пострадавшего работника грубой неосторожности не было — их можно отнести к неосмотрительности из-за спешки и отсут</w:t>
      </w:r>
      <w:r>
        <w:t xml:space="preserve">ствию контроля со стороны должностного лица. </w:t>
      </w:r>
    </w:p>
    <w:p w:rsidR="00000000" w:rsidRDefault="00341673">
      <w:r>
        <w:pict>
          <v:rect id="_x0000_i1027" style="width:6in;height:.75pt" o:hralign="center" o:hrstd="t" o:hrnoshade="t" o:hr="t" fillcolor="black" stroked="f">
            <v:path strokeok="f"/>
          </v:rect>
        </w:pict>
      </w:r>
    </w:p>
    <w:p w:rsidR="00000000" w:rsidRDefault="00341673">
      <w:pPr>
        <w:pStyle w:val="H3remark-h3"/>
        <w:spacing w:after="280" w:afterAutospacing="1"/>
      </w:pPr>
      <w:r>
        <w:t>Важно</w:t>
      </w:r>
    </w:p>
    <w:p w:rsidR="00000000" w:rsidRDefault="00341673">
      <w:pPr>
        <w:pStyle w:val="remark-p"/>
        <w:spacing w:after="280" w:afterAutospacing="1"/>
      </w:pPr>
      <w:r>
        <w:t xml:space="preserve">В новой редакции X раздела Трудового кодекса планируют утвердить новый порядок расследования несчастных случаев. Акт будет составлять и утверждать инспектор ГИТ </w:t>
      </w:r>
    </w:p>
    <w:p w:rsidR="00000000" w:rsidRDefault="00341673">
      <w:r>
        <w:pict>
          <v:rect id="_x0000_i1028" style="width:6in;height:.75pt" o:hralign="center" o:hrstd="t" o:hrnoshade="t" o:hr="t" fillcolor="black" stroked="f">
            <v:path strokeok="f"/>
          </v:rect>
        </w:pict>
      </w:r>
    </w:p>
    <w:p w:rsidR="00000000" w:rsidRDefault="00341673"/>
    <w:p w:rsidR="00000000" w:rsidRDefault="00341673">
      <w:pPr>
        <w:spacing w:after="280" w:afterAutospacing="1"/>
      </w:pPr>
      <w:r>
        <w:rPr>
          <w:b/>
          <w:bCs/>
        </w:rPr>
        <w:t xml:space="preserve">Советы по расследованию. </w:t>
      </w:r>
      <w:r>
        <w:t>Особые мнени</w:t>
      </w:r>
      <w:r>
        <w:t>я в акте Н-1 могут впоследствии оказать существенную помощь работодателю при защите своих прав, в том числе и в суде. Например, если инспектор ГИТ провел расследование несчастного случая, а члены комиссии от работодателя не согласны с его выводами, они име</w:t>
      </w:r>
      <w:r>
        <w:t>ют полное право составить особое мнение и выразить свою позицию. После чего работодатель может подать мотивированное мнение руководителю территориального органа ГИТ для рассмотрения вопроса об отмене акта. Также можно подать иск в суд и обжаловать акт Н-1,</w:t>
      </w:r>
      <w:r>
        <w:t xml:space="preserve"> ссылаясь на особое мнение членов комиссии. То есть особое мнение — это своеобразный крючок, который оставляет работодателю шанс отстоять свою позицию. </w:t>
      </w:r>
    </w:p>
    <w:p w:rsidR="00000000" w:rsidRDefault="00341673">
      <w:pPr>
        <w:spacing w:after="280" w:afterAutospacing="1"/>
      </w:pPr>
      <w:r>
        <w:lastRenderedPageBreak/>
        <w:t>Особое мнение члена комиссии оформляйте на отдельном титульном листе и прикладывайте к акту Н-1. Утверж</w:t>
      </w:r>
      <w:r>
        <w:t>денной формы такого документа нет. Обычно в нем указывают мнение о причинах, лицах, виновных в допущенных нарушениях, квалификации и т. д. (</w:t>
      </w:r>
      <w:r>
        <w:rPr>
          <w:rStyle w:val="Spanlink"/>
          <w:u w:val="single"/>
        </w:rPr>
        <w:t>п. 24</w:t>
      </w:r>
      <w:r>
        <w:t xml:space="preserve"> Положения об особенностях расследования, утв. постановлением Минтруда от 24.10.2002 № 73). </w:t>
      </w:r>
    </w:p>
    <w:p w:rsidR="00341673" w:rsidRDefault="00341673">
      <w:pPr>
        <w:spacing w:after="280" w:afterAutospacing="1"/>
      </w:pPr>
      <w:r>
        <w:br/>
        <w:t xml:space="preserve">  </w:t>
      </w:r>
    </w:p>
    <w:sectPr w:rsidR="0034167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341673"/>
    <w:rsid w:val="009F3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H3inline-h3">
    <w:name w:val="H3_inline-h3"/>
    <w:basedOn w:val="3"/>
    <w:pPr>
      <w:spacing w:before="0" w:after="180"/>
    </w:pPr>
    <w:rPr>
      <w:sz w:val="22"/>
      <w:szCs w:val="22"/>
    </w:rPr>
  </w:style>
  <w:style w:type="paragraph" w:customStyle="1" w:styleId="H2quiz2-title-h2">
    <w:name w:val="H2_quiz2-title-h2"/>
    <w:basedOn w:val="2"/>
    <w:pPr>
      <w:spacing w:after="195" w:line="300" w:lineRule="atLeast"/>
    </w:pPr>
    <w:rPr>
      <w:color w:val="403D32"/>
      <w:sz w:val="44"/>
      <w:szCs w:val="44"/>
    </w:rPr>
  </w:style>
  <w:style w:type="paragraph" w:customStyle="1" w:styleId="Tdquiz2-answer">
    <w:name w:val="Td_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2018-07-03T07:11:00Z</dcterms:created>
  <dcterms:modified xsi:type="dcterms:W3CDTF">2018-07-03T07:11:00Z</dcterms:modified>
</cp:coreProperties>
</file>