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F3C3E">
      <w:pPr>
        <w:pStyle w:val="electron-p"/>
        <w:spacing w:after="280" w:afterAutospacing="1"/>
      </w:pPr>
      <w:r>
        <w:t>Электронный журнал</w:t>
      </w:r>
    </w:p>
    <w:p w:rsidR="00000000" w:rsidRDefault="002F7649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F3C3E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8F3C3E">
      <w:pPr>
        <w:spacing w:after="280" w:afterAutospacing="1"/>
      </w:pPr>
      <w:r>
        <w:t>Обучение по охране труда / организация обучения</w:t>
      </w:r>
    </w:p>
    <w:p w:rsidR="00000000" w:rsidRDefault="008F3C3E">
      <w:pPr>
        <w:spacing w:after="280" w:afterAutospacing="1"/>
      </w:pPr>
      <w:r>
        <w:rPr>
          <w:b/>
          <w:bCs/>
        </w:rPr>
        <w:t>Виды обучения по охране труда: плюсы и минусы каждого</w:t>
      </w:r>
    </w:p>
    <w:p w:rsidR="00000000" w:rsidRDefault="008F3C3E">
      <w:pPr>
        <w:spacing w:after="280" w:afterAutospacing="1"/>
      </w:pPr>
      <w:r>
        <w:rPr>
          <w:b/>
          <w:bCs/>
        </w:rPr>
        <w:t>Ирина КРАХМАЛЬНАЯ</w:t>
      </w:r>
      <w:r>
        <w:br/>
        <w:t>генеральный директор ООО "ОТ-Консалтинг"</w:t>
      </w:r>
    </w:p>
    <w:p w:rsidR="00000000" w:rsidRDefault="008F3C3E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8F3C3E">
      <w:pPr>
        <w:pStyle w:val="Ol"/>
        <w:numPr>
          <w:ilvl w:val="0"/>
          <w:numId w:val="1"/>
        </w:numPr>
      </w:pPr>
      <w:r>
        <w:t xml:space="preserve">Классическое обучение — самая понятная форма учебы, </w:t>
      </w:r>
      <w:r>
        <w:t>но удерживать внимание слушателей в большой группе сложно</w:t>
      </w:r>
    </w:p>
    <w:p w:rsidR="00000000" w:rsidRDefault="008F3C3E">
      <w:pPr>
        <w:pStyle w:val="Ol"/>
        <w:numPr>
          <w:ilvl w:val="0"/>
          <w:numId w:val="1"/>
        </w:numPr>
      </w:pPr>
      <w:r>
        <w:t>Обучение на компьютерах позволяет изучать материал в любое время в любом месте, но разработка программы может оказаться дорогой</w:t>
      </w:r>
    </w:p>
    <w:p w:rsidR="00000000" w:rsidRDefault="008F3C3E">
      <w:pPr>
        <w:pStyle w:val="Ol"/>
        <w:numPr>
          <w:ilvl w:val="0"/>
          <w:numId w:val="1"/>
        </w:numPr>
      </w:pPr>
      <w:r>
        <w:t>Видеофильмы вызывают интерес у обучающихся, но подготовка сценария и с</w:t>
      </w:r>
      <w:r>
        <w:t>ъемка фильма занимают много времени</w:t>
      </w:r>
    </w:p>
    <w:p w:rsidR="00000000" w:rsidRDefault="008F3C3E">
      <w:pPr>
        <w:pStyle w:val="Ol"/>
        <w:numPr>
          <w:ilvl w:val="0"/>
          <w:numId w:val="1"/>
        </w:numPr>
        <w:spacing w:after="280" w:afterAutospacing="1"/>
      </w:pPr>
      <w:r>
        <w:t>Игровая форма обучения нравится работникам, но ее проведение с большой группы сотрудников может вызвать сложности</w:t>
      </w:r>
    </w:p>
    <w:p w:rsidR="00000000" w:rsidRDefault="008F3C3E">
      <w:pPr>
        <w:spacing w:after="280" w:afterAutospacing="1"/>
      </w:pPr>
      <w:r>
        <w:br/>
      </w:r>
      <w:r>
        <w:br/>
      </w:r>
    </w:p>
    <w:p w:rsidR="00000000" w:rsidRDefault="008F3C3E">
      <w:pPr>
        <w:spacing w:after="280" w:afterAutospacing="1"/>
      </w:pPr>
      <w:r>
        <w:rPr>
          <w:rStyle w:val="Spanletter"/>
        </w:rPr>
        <w:t>Н</w:t>
      </w:r>
      <w:r>
        <w:t xml:space="preserve">овый </w:t>
      </w:r>
      <w:r>
        <w:rPr>
          <w:rStyle w:val="Spanlink"/>
          <w:u w:val="single"/>
        </w:rPr>
        <w:t>ГОСТ 12.0.004–2015</w:t>
      </w:r>
      <w:r>
        <w:t>, который вступил в силу 1 марта 2017 года, предлагает работодателю сочетать тр</w:t>
      </w:r>
      <w:r>
        <w:t>адиционные методы обучения с современными — применять обучающие компьютерные программы, средства дистанционного обучения, видеоматериалы, тренажеры и другие информационные технологии. Причем обучать сотрудников охране труда теперь можно и без отрыва от раб</w:t>
      </w:r>
      <w:r>
        <w:t xml:space="preserve">оты. Какие виды обучения дают максимальный эффект? На какое дополнительное оборудование работодателю стоит потратиться? Наши советы — в статье. </w:t>
      </w:r>
    </w:p>
    <w:p w:rsidR="00000000" w:rsidRDefault="008F3C3E">
      <w:pPr>
        <w:pStyle w:val="2"/>
        <w:spacing w:after="280" w:afterAutospacing="1"/>
      </w:pPr>
      <w:r>
        <w:lastRenderedPageBreak/>
        <w:t>Классическое обучение</w:t>
      </w:r>
    </w:p>
    <w:p w:rsidR="00000000" w:rsidRDefault="008F3C3E">
      <w:pPr>
        <w:spacing w:after="280" w:afterAutospacing="1"/>
      </w:pPr>
      <w:r>
        <w:t>Традиционные занятия, когда сотрудники слушают лекции преподавателя, участвуют в практиче</w:t>
      </w:r>
      <w:r>
        <w:t xml:space="preserve">ских занятиях — это самая распространенная и понятная форма обучения по охране труда. Ее используют уже много лет. </w:t>
      </w:r>
    </w:p>
    <w:p w:rsidR="00000000" w:rsidRDefault="008F3C3E">
      <w:pPr>
        <w:spacing w:after="280" w:afterAutospacing="1"/>
      </w:pPr>
      <w:r>
        <w:t>Новый ГОСТ подразумевает несколько вариантов этой формы обучения (</w:t>
      </w:r>
      <w:r>
        <w:rPr>
          <w:rStyle w:val="Spanlink"/>
          <w:u w:val="single"/>
        </w:rPr>
        <w:t>п. 14.5</w:t>
      </w:r>
      <w:r>
        <w:t xml:space="preserve"> ГОСТ 12.0.004–2015): </w:t>
      </w:r>
    </w:p>
    <w:p w:rsidR="00000000" w:rsidRDefault="008F3C3E">
      <w:pPr>
        <w:pStyle w:val="Ul"/>
        <w:numPr>
          <w:ilvl w:val="0"/>
          <w:numId w:val="2"/>
        </w:numPr>
      </w:pPr>
      <w:r>
        <w:t>классическое непрерывное аудиторное обучение</w:t>
      </w:r>
      <w:r>
        <w:t xml:space="preserve">. Его проводят ежедневно, пока сотрудник не освоит программу в полном объеме. После этого он должен пройти итоговую проверку знаний в виде экзамена, собеседования или тестирования; </w:t>
      </w:r>
    </w:p>
    <w:p w:rsidR="00000000" w:rsidRDefault="008F3C3E">
      <w:pPr>
        <w:pStyle w:val="Ul"/>
        <w:numPr>
          <w:ilvl w:val="0"/>
          <w:numId w:val="2"/>
        </w:numPr>
      </w:pPr>
      <w:r>
        <w:t>модульное аудиторное обучение. Его проводят по отдельным тематическим моду</w:t>
      </w:r>
      <w:r>
        <w:t xml:space="preserve">лям в разные дни; </w:t>
      </w:r>
    </w:p>
    <w:p w:rsidR="00000000" w:rsidRDefault="008F3C3E">
      <w:pPr>
        <w:pStyle w:val="Ul"/>
        <w:numPr>
          <w:ilvl w:val="0"/>
          <w:numId w:val="2"/>
        </w:numPr>
      </w:pPr>
      <w:r>
        <w:t xml:space="preserve">дистанционное обучение. Сотрудник получает знания, прослушивает материал, но находится на удалении от самого лектора. Для такого обучения применяют современные информационные технологии; </w:t>
      </w:r>
    </w:p>
    <w:p w:rsidR="00000000" w:rsidRDefault="008F3C3E">
      <w:pPr>
        <w:pStyle w:val="Ul"/>
        <w:numPr>
          <w:ilvl w:val="0"/>
          <w:numId w:val="2"/>
        </w:numPr>
        <w:spacing w:after="280" w:afterAutospacing="1"/>
      </w:pPr>
      <w:r>
        <w:t>комбинированное обучение. В этом случае преподава</w:t>
      </w:r>
      <w:r>
        <w:t xml:space="preserve">тель использует сразу несколько форм организации обучения. </w:t>
      </w:r>
    </w:p>
    <w:p w:rsidR="00000000" w:rsidRDefault="008F3C3E">
      <w:pPr>
        <w:pStyle w:val="3"/>
        <w:spacing w:after="280" w:afterAutospacing="1"/>
      </w:pPr>
      <w:r>
        <w:t>Как проходит обучение</w:t>
      </w:r>
    </w:p>
    <w:p w:rsidR="00000000" w:rsidRDefault="008F3C3E"/>
    <w:p w:rsidR="00000000" w:rsidRDefault="008F3C3E">
      <w:pPr>
        <w:spacing w:after="280" w:afterAutospacing="1"/>
      </w:pPr>
      <w:r>
        <w:t>Ответственный за охрану труда сотрудник собирает работников в кабинете по охране труда, переговорной или др</w:t>
      </w:r>
      <w:r>
        <w:t>угом помещении. Там он читает лекции по утвержденной на предприятии программе. Если это дистанционное обучение, то лектор связывается с обучающимися работниками с помощью специальной компьютерной программы. В этом формате обучающиеся могут самостоятельно г</w:t>
      </w:r>
      <w:r>
        <w:t xml:space="preserve">отовиться по учебным пособиям и другим методическим материалам. </w:t>
      </w:r>
    </w:p>
    <w:p w:rsidR="00000000" w:rsidRDefault="008F3C3E">
      <w:pPr>
        <w:spacing w:after="280" w:afterAutospacing="1"/>
      </w:pPr>
      <w:r>
        <w:rPr>
          <w:b/>
          <w:bCs/>
        </w:rPr>
        <w:t>Какое оборудование нужно. </w:t>
      </w:r>
      <w:r>
        <w:t>Если на предприятии работают больше 100 человек, значит, там есть кабинет по охране труда с методическими пособиями, компьютерами, программным обеспечением, тренажер</w:t>
      </w:r>
      <w:r>
        <w:t>ами, манекенами, макетами, образцами СИЗ и т. д. (</w:t>
      </w:r>
      <w:r>
        <w:rPr>
          <w:rStyle w:val="Spanlink"/>
          <w:u w:val="single"/>
        </w:rPr>
        <w:t>п. 13</w:t>
      </w:r>
      <w:r>
        <w:t xml:space="preserve"> постановления Минтруда России от 17 января 2001 года № 7). Поэтому работодателю не нужно покупать дополнительные атрибуты для обучения. </w:t>
      </w:r>
    </w:p>
    <w:p w:rsidR="00000000" w:rsidRDefault="008F3C3E">
      <w:pPr>
        <w:spacing w:after="280" w:afterAutospacing="1"/>
      </w:pPr>
      <w:r>
        <w:t>Если организация маленькая, приобретите:</w:t>
      </w:r>
    </w:p>
    <w:p w:rsidR="00000000" w:rsidRDefault="008F3C3E">
      <w:pPr>
        <w:pStyle w:val="Ul"/>
        <w:numPr>
          <w:ilvl w:val="0"/>
          <w:numId w:val="3"/>
        </w:numPr>
      </w:pPr>
      <w:r>
        <w:t>технические средства (</w:t>
      </w:r>
      <w:r>
        <w:t>компьютеры и программное обеспечение);</w:t>
      </w:r>
    </w:p>
    <w:p w:rsidR="00000000" w:rsidRDefault="008F3C3E">
      <w:pPr>
        <w:pStyle w:val="Ul"/>
        <w:numPr>
          <w:ilvl w:val="0"/>
          <w:numId w:val="3"/>
        </w:numPr>
      </w:pPr>
      <w:r>
        <w:t>методические пособия и учебную литературу;</w:t>
      </w:r>
    </w:p>
    <w:p w:rsidR="00000000" w:rsidRDefault="008F3C3E">
      <w:pPr>
        <w:pStyle w:val="Ul"/>
        <w:numPr>
          <w:ilvl w:val="0"/>
          <w:numId w:val="3"/>
        </w:numPr>
      </w:pPr>
      <w:r>
        <w:lastRenderedPageBreak/>
        <w:t>плакаты и другой иллюстрационный материал;</w:t>
      </w:r>
    </w:p>
    <w:p w:rsidR="00000000" w:rsidRDefault="008F3C3E">
      <w:pPr>
        <w:pStyle w:val="Ul"/>
        <w:numPr>
          <w:ilvl w:val="0"/>
          <w:numId w:val="3"/>
        </w:numPr>
        <w:spacing w:after="280" w:afterAutospacing="1"/>
      </w:pPr>
      <w:r>
        <w:t>макеты и т. д.</w:t>
      </w:r>
    </w:p>
    <w:p w:rsidR="00000000" w:rsidRDefault="008F3C3E">
      <w:pPr>
        <w:spacing w:after="280" w:afterAutospacing="1"/>
      </w:pPr>
      <w:r>
        <w:rPr>
          <w:b/>
          <w:bCs/>
        </w:rPr>
        <w:t>Плюсы.</w:t>
      </w:r>
      <w:r>
        <w:t> К этому виду обучения привыкло большинство сотрудников. Если лектор рассказывает грамотно и доходчиво, сотруд</w:t>
      </w:r>
      <w:r>
        <w:t xml:space="preserve">ник получит необходимые знания. Во время лекции преподавателю можно задать уточняющий вопрос. </w:t>
      </w:r>
    </w:p>
    <w:p w:rsidR="00000000" w:rsidRDefault="008F3C3E">
      <w:pPr>
        <w:spacing w:after="280" w:afterAutospacing="1"/>
      </w:pPr>
      <w:r>
        <w:rPr>
          <w:b/>
          <w:bCs/>
        </w:rPr>
        <w:t>Минусы. </w:t>
      </w:r>
      <w:r>
        <w:t>На больших предприятиях собрать обучающихся в одной аудитории в одно и то же время бывает сложно. Если преподаватель обучает большую группу, удержать вни</w:t>
      </w:r>
      <w:r>
        <w:t xml:space="preserve">мание каждого сложно. Поэтому часть информации сотрудники могут упустить. </w:t>
      </w:r>
    </w:p>
    <w:p w:rsidR="00000000" w:rsidRDefault="008F3C3E">
      <w:pPr>
        <w:pStyle w:val="2"/>
        <w:spacing w:after="280" w:afterAutospacing="1"/>
      </w:pPr>
      <w:r>
        <w:t>Обучение на компьютерных программах</w:t>
      </w:r>
    </w:p>
    <w:p w:rsidR="00000000" w:rsidRDefault="008F3C3E">
      <w:pPr>
        <w:spacing w:after="280" w:afterAutospacing="1"/>
      </w:pPr>
      <w:r>
        <w:t>Эту форму обучения работодатели используют все чаще. Применять ее просто, а современные сотрудники вполне владеют навыками компьютерной грамотнос</w:t>
      </w:r>
      <w:r>
        <w:t xml:space="preserve">ти. </w:t>
      </w:r>
    </w:p>
    <w:p w:rsidR="00000000" w:rsidRDefault="008F3C3E">
      <w:pPr>
        <w:spacing w:after="280" w:afterAutospacing="1"/>
      </w:pPr>
      <w:r>
        <w:rPr>
          <w:b/>
          <w:bCs/>
        </w:rPr>
        <w:t>Как проходит обучение. </w:t>
      </w:r>
      <w:r>
        <w:t>По тематическим направлениям разрабатывают отдельные программы. Их устанавливают на компьютеры предприятия. Сотрудники могут проходить обучения либо на производстве в кабинете по охране труда, либо дистанционно. Для этого им даю</w:t>
      </w:r>
      <w:r>
        <w:t xml:space="preserve">т удаленный доступ. </w:t>
      </w:r>
    </w:p>
    <w:p w:rsidR="00000000" w:rsidRDefault="008F3C3E">
      <w:pPr>
        <w:spacing w:after="280" w:afterAutospacing="1"/>
      </w:pPr>
      <w:r>
        <w:rPr>
          <w:b/>
          <w:bCs/>
        </w:rPr>
        <w:t>Какое оборудование нужно.</w:t>
      </w:r>
      <w:r>
        <w:t xml:space="preserve"> Работодателю потребуется заказать компьютерную программу и иметь достаточное количество компьютеров для занятий. Если сотрудники будут проходить обучение дома за своим персональным компьютером, нужно отладить </w:t>
      </w:r>
      <w:r>
        <w:t xml:space="preserve">механизм персонального доступа.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8F3C3E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В одном из банков Москвы для обучения своих сотрудников по охране труда применяли разработанную специалистами программу. В ней все обучающие слайды снабдили теоретическим материалом, наглядными картинками, фотографи</w:t>
            </w:r>
            <w:r>
              <w:t xml:space="preserve">ями, видеороликами. Каждый работник имел доступ к этой программе. Обучение проходило по 16 темам. После каждой — промежуточное тестирование, а в конце курса обучения — итоговое тестирование. После обучения и тестирования, специалист по охране труда провел </w:t>
            </w:r>
            <w:r>
              <w:t xml:space="preserve">анализ результатов. Итог — отличные показатели обучения. В результате руководитель банка внедрил эту программу обучения во все обособленные подразделения и активно ее использует. </w:t>
            </w:r>
          </w:p>
        </w:tc>
      </w:tr>
    </w:tbl>
    <w:p w:rsidR="00000000" w:rsidRDefault="008F3C3E"/>
    <w:p w:rsidR="00000000" w:rsidRDefault="008F3C3E">
      <w:pPr>
        <w:spacing w:after="280" w:afterAutospacing="1"/>
      </w:pPr>
      <w:r>
        <w:rPr>
          <w:b/>
          <w:bCs/>
        </w:rPr>
        <w:t>Плюсы. </w:t>
      </w:r>
      <w:r>
        <w:t>Работник может пройти обучение в любом месте и в любое время. Изуча</w:t>
      </w:r>
      <w:r>
        <w:t xml:space="preserve">емый материал можно обогатить полезными схемами, картинками, </w:t>
      </w:r>
      <w:r>
        <w:lastRenderedPageBreak/>
        <w:t xml:space="preserve">графиками, видеороликами. Удобно проводить контроль полученных знаний. Сразу после обучения можно провести на компьютере итоговое тестирование. </w:t>
      </w:r>
    </w:p>
    <w:p w:rsidR="00000000" w:rsidRDefault="008F3C3E">
      <w:pPr>
        <w:spacing w:after="280" w:afterAutospacing="1"/>
      </w:pPr>
      <w:r>
        <w:rPr>
          <w:b/>
          <w:bCs/>
        </w:rPr>
        <w:t>Минусы. </w:t>
      </w:r>
      <w:r>
        <w:t>Разработка компьютерного программного обуч</w:t>
      </w:r>
      <w:r>
        <w:t xml:space="preserve">ения может занять много времени и быть дорогой. Нужно контролировать, чтобы сотрудник сам проходил обучение, а не обращался к помощи коллег. </w:t>
      </w:r>
    </w:p>
    <w:p w:rsidR="00000000" w:rsidRDefault="008F3C3E">
      <w:pPr>
        <w:pStyle w:val="2"/>
        <w:spacing w:after="280" w:afterAutospacing="1"/>
      </w:pPr>
      <w:r>
        <w:t>Обучение при помощи видеофильмов</w:t>
      </w:r>
    </w:p>
    <w:p w:rsidR="00000000" w:rsidRDefault="008F3C3E"/>
    <w:p w:rsidR="00000000" w:rsidRDefault="008F3C3E">
      <w:pPr>
        <w:spacing w:after="280" w:afterAutospacing="1"/>
      </w:pPr>
      <w:r>
        <w:t xml:space="preserve">Это не самостоятельная, а скорее дополнительная форма. Ее активно используют при обучении сотрудников рабочих специальностей. С помощью видеофильма им показывают: </w:t>
      </w:r>
    </w:p>
    <w:p w:rsidR="00000000" w:rsidRDefault="008F3C3E">
      <w:pPr>
        <w:pStyle w:val="Ul"/>
        <w:numPr>
          <w:ilvl w:val="0"/>
          <w:numId w:val="4"/>
        </w:numPr>
      </w:pPr>
      <w:r>
        <w:t>особенности той или иной профессии;</w:t>
      </w:r>
    </w:p>
    <w:p w:rsidR="00000000" w:rsidRDefault="008F3C3E">
      <w:pPr>
        <w:pStyle w:val="Ul"/>
        <w:numPr>
          <w:ilvl w:val="0"/>
          <w:numId w:val="4"/>
        </w:numPr>
      </w:pPr>
      <w:r>
        <w:t>работы с оборудовани</w:t>
      </w:r>
      <w:r>
        <w:t>ем;</w:t>
      </w:r>
    </w:p>
    <w:p w:rsidR="00000000" w:rsidRDefault="008F3C3E">
      <w:pPr>
        <w:pStyle w:val="Ul"/>
        <w:numPr>
          <w:ilvl w:val="0"/>
          <w:numId w:val="4"/>
        </w:numPr>
      </w:pPr>
      <w:r>
        <w:t>несчастные случаи, которые могут возникнуть на рабочем месте;</w:t>
      </w:r>
    </w:p>
    <w:p w:rsidR="00000000" w:rsidRDefault="008F3C3E">
      <w:pPr>
        <w:pStyle w:val="Ul"/>
        <w:numPr>
          <w:ilvl w:val="0"/>
          <w:numId w:val="4"/>
        </w:numPr>
        <w:spacing w:after="280" w:afterAutospacing="1"/>
      </w:pPr>
      <w:r>
        <w:t>способы оказания первой доврачебной помощи и т. д.</w:t>
      </w:r>
    </w:p>
    <w:p w:rsidR="00000000" w:rsidRDefault="008F3C3E">
      <w:pPr>
        <w:spacing w:after="280" w:afterAutospacing="1"/>
      </w:pPr>
      <w:r>
        <w:rPr>
          <w:b/>
          <w:bCs/>
        </w:rPr>
        <w:t>Как проходит обучение.</w:t>
      </w:r>
      <w:r>
        <w:t> Видеофильм показывают группе сотрудников во время одного из этапов обучения или инструктажа. Также его могут размест</w:t>
      </w:r>
      <w:r>
        <w:t xml:space="preserve">ить на портале предприятия для общего доступа. </w:t>
      </w:r>
    </w:p>
    <w:p w:rsidR="00000000" w:rsidRDefault="008F3C3E">
      <w:pPr>
        <w:spacing w:after="280" w:afterAutospacing="1"/>
      </w:pPr>
      <w:r>
        <w:rPr>
          <w:b/>
          <w:bCs/>
        </w:rPr>
        <w:t>Какое оборудование нужно.</w:t>
      </w:r>
      <w:r>
        <w:t xml:space="preserve"> Необходимо иметь оборудование для показа видеофильма. Это может быть компьютер — если его смотрят один или несколько сотрудников. Если работодатель планирует показывать видео на боль</w:t>
      </w:r>
      <w:r>
        <w:t xml:space="preserve">шую аудиторию, нужно купить и установить большой жидкокристаллический монитор или проектор с экраном.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8F3C3E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На предприятии, которое занимается производством и упаковкой продуктов медицинского назначения, сняли обучающий видеофильм. Для этого привлекли п</w:t>
            </w:r>
            <w:r>
              <w:t>рофессионального оператора и монтажера. В ролике показали весь процесс работы на оборудовании в одном из цехов, примеры возможных аварийных ситуаций на похожих предприятиях, способы оказания доврачебной помощи. Дальше специалист по охране труда использовал</w:t>
            </w:r>
            <w:r>
              <w:t xml:space="preserve"> это видео для обучения сотрудников. Аналогичные фильмы сняли и для других цехов предприятия. Этими видеофильмами дополняют обучающие блоки. </w:t>
            </w:r>
          </w:p>
        </w:tc>
      </w:tr>
    </w:tbl>
    <w:p w:rsidR="00000000" w:rsidRDefault="008F3C3E"/>
    <w:p w:rsidR="00000000" w:rsidRDefault="008F3C3E">
      <w:pPr>
        <w:spacing w:after="280" w:afterAutospacing="1"/>
      </w:pPr>
      <w:r>
        <w:rPr>
          <w:b/>
          <w:bCs/>
        </w:rPr>
        <w:lastRenderedPageBreak/>
        <w:t>Плюсы.</w:t>
      </w:r>
      <w:r>
        <w:t> Видеофильмы вызывают интерес у обучаемых. Работник может посмотреть их в любом месте и в любое время. Мат</w:t>
      </w:r>
      <w:r>
        <w:t xml:space="preserve">ериал такого видеофильма хорошо усваивается. </w:t>
      </w:r>
    </w:p>
    <w:p w:rsidR="00000000" w:rsidRDefault="008F3C3E">
      <w:pPr>
        <w:spacing w:after="280" w:afterAutospacing="1"/>
      </w:pPr>
      <w:r>
        <w:rPr>
          <w:b/>
          <w:bCs/>
        </w:rPr>
        <w:t>Минусы.</w:t>
      </w:r>
      <w:r>
        <w:t xml:space="preserve"> Подготовка сценария, съемка и монтаж фильма требует длительного времени и денежных затрат. </w:t>
      </w:r>
    </w:p>
    <w:p w:rsidR="00000000" w:rsidRDefault="008F3C3E">
      <w:pPr>
        <w:pStyle w:val="2"/>
        <w:spacing w:after="280" w:afterAutospacing="1"/>
      </w:pPr>
      <w:r>
        <w:t>Обучение в виде игры или соревнования</w:t>
      </w:r>
    </w:p>
    <w:p w:rsidR="00000000" w:rsidRDefault="008F3C3E">
      <w:pPr>
        <w:spacing w:after="280" w:afterAutospacing="1"/>
      </w:pPr>
      <w:r>
        <w:t>Игровая форма — одна из самых интересных. Для обучения по охране труда м</w:t>
      </w:r>
      <w:r>
        <w:t xml:space="preserve">ожно применять различные игры, квесты, соревнования. Такая форма обучения вызывает у работников большой интерес. </w:t>
      </w:r>
    </w:p>
    <w:p w:rsidR="00000000" w:rsidRDefault="008F3C3E">
      <w:pPr>
        <w:spacing w:after="280" w:afterAutospacing="1"/>
      </w:pPr>
      <w:r>
        <w:rPr>
          <w:b/>
          <w:bCs/>
        </w:rPr>
        <w:t>Как проходит обучение. </w:t>
      </w:r>
      <w:r>
        <w:t>Вы можете сами разработать сценарий и проводить обучающие игры для небольшой группы сотрудников, например, смены. В сор</w:t>
      </w:r>
      <w:r>
        <w:t>евнованиях или квестах могут также участвовать цеха и подразделения. Для этого используйте карточки с заданиями, видеоролики, манекены для оказания первой доврачебной помощи, нарисованные карты территории предприятия и другие доступные атрибуты. Также вы м</w:t>
      </w:r>
      <w:r>
        <w:t xml:space="preserve">ожете взять за основу и популярные телевизионные игры. Их правила знает каждый сотрудник, вам останется лишь придумать вопросы по теме охраны труда (рисунок). Во время подведения итогов проговорите с сотрудниками, чему они научились и какие знания усвоили </w:t>
      </w:r>
      <w:r>
        <w:t xml:space="preserve">во время соревнования. </w:t>
      </w:r>
    </w:p>
    <w:p w:rsidR="00000000" w:rsidRDefault="008F3C3E">
      <w:pPr>
        <w:pStyle w:val="strong"/>
        <w:spacing w:after="280" w:afterAutospacing="1"/>
      </w:pPr>
      <w:r>
        <w:t>Игровое поле с примерами вопросов</w:t>
      </w:r>
    </w:p>
    <w:p w:rsidR="00000000" w:rsidRDefault="002F7649">
      <w:pPr>
        <w:pStyle w:val="strong"/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35718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F3C3E">
      <w:pPr>
        <w:spacing w:after="280" w:afterAutospacing="1"/>
      </w:pPr>
      <w:r>
        <w:rPr>
          <w:b/>
          <w:bCs/>
        </w:rPr>
        <w:t>Какое оборудование нужно.</w:t>
      </w:r>
      <w:r>
        <w:t xml:space="preserve"> Для каждой игры нужно заранее составить список необходимого оборудования и атрибутов. Подайте заявку работодателю заранее, чтобы успеть закупить все необходимое.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8F3C3E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>Пример.</w:t>
            </w:r>
            <w:r>
              <w:rPr>
                <w:rStyle w:val="Spanred"/>
                <w:b/>
                <w:bCs/>
              </w:rPr>
              <w:t xml:space="preserve"> </w:t>
            </w:r>
            <w:r>
              <w:t>В некоторых компаниях энергетического комплекса ежегодно проводят соревнования электромонтеров в виде конкурсов профессионального мастерства. Один из его этапов — теоретические знания правил по охране труда, второй этап — практический. Участнику нужно:</w:t>
            </w:r>
            <w:r>
              <w:br/>
              <w:t>– </w:t>
            </w:r>
            <w:r>
              <w:t>выполнить замену дефектной изолирующей поддерживающей подвески на промежуточной опоре ВЛ 500 кВ с измерением сопротивления контура заземления опоры;</w:t>
            </w:r>
            <w:r>
              <w:br/>
              <w:t>– заменить дефектные изоляторы натяжной изолирующей подвески на анкерно-угловой опоре ВЛ 220 кВ;</w:t>
            </w:r>
            <w:r>
              <w:br/>
              <w:t>– спасти у</w:t>
            </w:r>
            <w:r>
              <w:t xml:space="preserve">словного пострадавшего от воздействия электрического тока, спустить специальный манекен и оказать доврачебную помощь. </w:t>
            </w:r>
          </w:p>
          <w:p w:rsidR="00000000" w:rsidRDefault="008F3C3E">
            <w:pPr>
              <w:pStyle w:val="example-p"/>
            </w:pPr>
            <w:r>
              <w:t>По результатам каждого этапа командам присуждается определенное количество баллов. И хотя такое мероприятие и не называлось обучением по </w:t>
            </w:r>
            <w:r>
              <w:t xml:space="preserve">охране труда, но оно помогло отработать теоретические знания и практические навыки сотрудников. </w:t>
            </w:r>
          </w:p>
        </w:tc>
      </w:tr>
    </w:tbl>
    <w:p w:rsidR="00000000" w:rsidRDefault="008F3C3E"/>
    <w:p w:rsidR="00000000" w:rsidRDefault="008F3C3E">
      <w:pPr>
        <w:spacing w:after="280" w:afterAutospacing="1"/>
      </w:pPr>
      <w:r>
        <w:rPr>
          <w:b/>
          <w:bCs/>
        </w:rPr>
        <w:t>Плюсы. </w:t>
      </w:r>
      <w:r>
        <w:t xml:space="preserve">Высокий интерес обучаемых сотрудников. Учебный материал в процессе игры легко усваивается. </w:t>
      </w:r>
    </w:p>
    <w:p w:rsidR="00000000" w:rsidRDefault="008F3C3E">
      <w:pPr>
        <w:spacing w:after="280" w:afterAutospacing="1"/>
      </w:pPr>
      <w:r>
        <w:rPr>
          <w:b/>
          <w:bCs/>
        </w:rPr>
        <w:lastRenderedPageBreak/>
        <w:t>Минусы. </w:t>
      </w:r>
      <w:r>
        <w:t>Сложно организовать игру, особенно если в соревнов</w:t>
      </w:r>
      <w:r>
        <w:t xml:space="preserve">аниях участвует много сотрудников. </w:t>
      </w:r>
    </w:p>
    <w:p w:rsidR="00000000" w:rsidRDefault="008F3C3E">
      <w:pPr>
        <w:spacing w:after="280" w:afterAutospacing="1"/>
      </w:pPr>
      <w:r>
        <w:t>Какую форму обучения выбрать для сотрудников конкретного предприятия решает руководитель. По закону именно он отвечает за безопасные условия и охрану труда сотрудников (</w:t>
      </w:r>
      <w:r>
        <w:rPr>
          <w:rStyle w:val="Spanlink"/>
          <w:u w:val="single"/>
        </w:rPr>
        <w:t>ст. 212</w:t>
      </w:r>
      <w:r>
        <w:t xml:space="preserve"> ТК РФ). </w:t>
      </w:r>
    </w:p>
    <w:p w:rsidR="008F3C3E" w:rsidRDefault="008F3C3E">
      <w:pPr>
        <w:spacing w:after="280" w:afterAutospacing="1"/>
      </w:pPr>
      <w:r>
        <w:t xml:space="preserve">  </w:t>
      </w:r>
    </w:p>
    <w:sectPr w:rsidR="008F3C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F7649"/>
    <w:rsid w:val="008F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2018-07-03T09:41:00Z</dcterms:created>
  <dcterms:modified xsi:type="dcterms:W3CDTF">2018-07-03T09:41:00Z</dcterms:modified>
</cp:coreProperties>
</file>