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3EE6">
      <w:pPr>
        <w:pStyle w:val="printredaction-line"/>
        <w:divId w:val="325398943"/>
      </w:pPr>
      <w:r>
        <w:t>Редакция от 1 янв 2016</w:t>
      </w:r>
    </w:p>
    <w:p w:rsidR="00000000" w:rsidRDefault="001C3EE6">
      <w:pPr>
        <w:pStyle w:val="2"/>
        <w:divId w:val="325398943"/>
        <w:rPr>
          <w:rFonts w:eastAsia="Times New Roman"/>
        </w:rPr>
      </w:pPr>
      <w:r>
        <w:rPr>
          <w:rFonts w:eastAsia="Times New Roman"/>
        </w:rPr>
        <w:t>Может ли работник организации проводить техническое обслуживание огнетушителей?</w:t>
      </w:r>
    </w:p>
    <w:p w:rsidR="00000000" w:rsidRDefault="001C3EE6">
      <w:pPr>
        <w:pStyle w:val="a3"/>
        <w:divId w:val="906258036"/>
      </w:pPr>
      <w:r>
        <w:t>Нет, не может. В соответствии с</w:t>
      </w:r>
      <w:r>
        <w:t xml:space="preserve"> </w:t>
      </w:r>
      <w:hyperlink r:id="rId4" w:anchor="/document/99/902344800/XA00MBE2NG/" w:history="1">
        <w:r>
          <w:rPr>
            <w:rStyle w:val="a4"/>
          </w:rPr>
          <w:t>пунктом 476</w:t>
        </w:r>
      </w:hyperlink>
      <w:r>
        <w:t xml:space="preserve"> </w:t>
      </w:r>
      <w:r>
        <w:t>Правил противопожарного режима, утвержденных постановлением Правительства РФ от 25 апреля 2012 г. № 390, регламентное техническое обслуживание и опломбирование огнетушителей проводится специализированными организациями, имеющими лицензию.</w:t>
      </w:r>
      <w:r>
        <w:t xml:space="preserve"> </w:t>
      </w:r>
    </w:p>
    <w:p w:rsidR="00000000" w:rsidRDefault="001C3EE6">
      <w:pPr>
        <w:pStyle w:val="a3"/>
        <w:divId w:val="906258036"/>
      </w:pPr>
      <w:r>
        <w:t>При этом в</w:t>
      </w:r>
      <w:r>
        <w:t xml:space="preserve"> </w:t>
      </w:r>
      <w:hyperlink r:id="rId5" w:anchor="/document/97/24559/Lm0217/" w:history="1">
        <w:r>
          <w:rPr>
            <w:rStyle w:val="a4"/>
          </w:rPr>
          <w:t>пункте 4.3.3</w:t>
        </w:r>
      </w:hyperlink>
      <w:r>
        <w:t xml:space="preserve"> СП 9.13130.2009. «Свод правил. Техника пожарная. Огнетушители. Требования к эксплуатации», утвержденным приказом МЧС России от 25 марта 2009 г. № 179 в организации должен быть назн</w:t>
      </w:r>
      <w:r>
        <w:t>ачен приказом руководителя работник, прошедший проверку знаний нормативно-технических документов по устройству и эксплуатации огнетушителей и параметрам ОТВ, способным самостоятельно проводить необходимый объем работ по обслуживанию огнетушителей.</w:t>
      </w:r>
      <w:r>
        <w:t xml:space="preserve"> </w:t>
      </w:r>
    </w:p>
    <w:p w:rsidR="00000000" w:rsidRDefault="001C3EE6">
      <w:pPr>
        <w:pStyle w:val="a3"/>
        <w:divId w:val="906258036"/>
      </w:pPr>
      <w:r>
        <w:t xml:space="preserve">Данный </w:t>
      </w:r>
      <w:r>
        <w:t>работник должен обеспечить взаимодействие с лицензированной обслуживающей организацией, может осуществлять внешний осмотр огнетушителей, его комплектность в соответствии с паспортом, осмотр места установки и подходов к ним, целостность пломбы, показания ма</w:t>
      </w:r>
      <w:r>
        <w:t>нометра. При обнаружении нарушения пломбы или падения давления в левый сектор (утечка огнетушащего вещества) запись вносится в соответствующий журнал, и огнетушитель, в соответствии с условиями договора, передается вместе с паспортом в специализированную о</w:t>
      </w:r>
      <w:r>
        <w:t>рганизацию на ремонт, регламентное обслуживание или на перезарядку.</w:t>
      </w:r>
      <w:r>
        <w:t xml:space="preserve"> </w:t>
      </w:r>
    </w:p>
    <w:p w:rsidR="00000000" w:rsidRDefault="001C3EE6">
      <w:pPr>
        <w:pStyle w:val="a3"/>
        <w:divId w:val="906258036"/>
      </w:pPr>
      <w:r>
        <w:t>В соответствии с</w:t>
      </w:r>
      <w:r>
        <w:t xml:space="preserve"> </w:t>
      </w:r>
      <w:hyperlink r:id="rId6" w:anchor="/document/99/902321636/XA00MAM2NB/" w:history="1">
        <w:r>
          <w:rPr>
            <w:rStyle w:val="a4"/>
          </w:rPr>
          <w:t>пунктом 11 приложения</w:t>
        </w:r>
      </w:hyperlink>
      <w:r>
        <w:t xml:space="preserve"> к Положению о лицензировании деятельности по монтажу, техническому обслу</w:t>
      </w:r>
      <w:r>
        <w:t>живанию и ремонту средств обеспечения пожарной безопасности зданий и сооружений, утвержденного постановлением Правительства РФ от 30 декабря 2011 г. № 1225, монтаж, техническое обслуживание и ремонт первичных средств пожаротушения относится к лицензируемым</w:t>
      </w:r>
      <w:r>
        <w:t xml:space="preserve"> видам деятельности.</w:t>
      </w:r>
      <w:r>
        <w:t xml:space="preserve"> </w:t>
      </w:r>
    </w:p>
    <w:p w:rsidR="001C3EE6" w:rsidRDefault="001C3EE6">
      <w:pPr>
        <w:divId w:val="886527644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1C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8A74A5"/>
    <w:rsid w:val="001C3EE6"/>
    <w:rsid w:val="008A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9894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8036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27644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2018-07-03T06:08:00Z</dcterms:created>
  <dcterms:modified xsi:type="dcterms:W3CDTF">2018-07-03T06:08:00Z</dcterms:modified>
</cp:coreProperties>
</file>