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24B1A">
      <w:pPr>
        <w:pStyle w:val="printredaction-line"/>
        <w:divId w:val="1731415213"/>
      </w:pPr>
      <w:r>
        <w:t>Редакция от 1 янв 2016</w:t>
      </w:r>
    </w:p>
    <w:p w:rsidR="00000000" w:rsidRDefault="00D24B1A">
      <w:pPr>
        <w:pStyle w:val="2"/>
        <w:divId w:val="1731415213"/>
        <w:rPr>
          <w:rFonts w:eastAsia="Times New Roman"/>
        </w:rPr>
      </w:pPr>
      <w:r>
        <w:rPr>
          <w:rFonts w:eastAsia="Times New Roman"/>
        </w:rPr>
        <w:t>Нормативные основы оценки факторов профессионального риска на строительных объектах</w:t>
      </w:r>
    </w:p>
    <w:p w:rsidR="00000000" w:rsidRDefault="00D24B1A">
      <w:pPr>
        <w:pStyle w:val="a3"/>
        <w:divId w:val="1731415213"/>
      </w:pPr>
      <w:r>
        <w:rPr>
          <w:b/>
          <w:bCs/>
        </w:rPr>
        <w:t>Демин А. Б.</w:t>
      </w:r>
    </w:p>
    <w:p w:rsidR="00000000" w:rsidRDefault="00D24B1A">
      <w:pPr>
        <w:pStyle w:val="a3"/>
        <w:divId w:val="1002709197"/>
      </w:pPr>
      <w:r>
        <w:t>Во всем мире строительная отрасль по условиям и безопасности труда относится к числу наиболее потенциально опасных. Это обусловлено спецификой строительных работ, значительная часть которых выполняется в условиях действия опасных и (или) вредных производст</w:t>
      </w:r>
      <w:r>
        <w:t>венных факторов, связанных с характером работы или условиями труда на рабочем месте</w:t>
      </w:r>
      <w:r>
        <w:t>.</w:t>
      </w:r>
    </w:p>
    <w:p w:rsidR="00000000" w:rsidRDefault="00D24B1A">
      <w:pPr>
        <w:pStyle w:val="a3"/>
        <w:divId w:val="1002709197"/>
      </w:pPr>
      <w:r>
        <w:t>Возникновение и действие опасных и вредных производственных факторов объективно связано с особенностями объемно-планировочных и конструктивных характеристик возводимых объ</w:t>
      </w:r>
      <w:r>
        <w:t>ектов, применяемых средств механизации. Мобильный характер рабочих мест и необходимость совмещения на строительной площадке деятельности различных подрядных организаций значительно влияют на динамику изменения опасных условий труда на строительных объектах</w:t>
      </w:r>
      <w:r>
        <w:t>. Поэтому первостепенное значение имеет проведение постоянного контроля и проверок состояния охраны и условий безопасности труда в целях своевременного устранения причин производственного травматизма</w:t>
      </w:r>
      <w:r>
        <w:t>.</w:t>
      </w:r>
    </w:p>
    <w:p w:rsidR="00000000" w:rsidRDefault="00D24B1A">
      <w:pPr>
        <w:pStyle w:val="a3"/>
        <w:divId w:val="1002709197"/>
      </w:pPr>
      <w:r>
        <w:t>В соответствии с требованиями</w:t>
      </w:r>
      <w:r>
        <w:t xml:space="preserve"> </w:t>
      </w:r>
      <w:hyperlink r:id="rId4" w:anchor="/document/99/901807664/XA00MBO2MV/" w:history="1">
        <w:r>
          <w:rPr>
            <w:rStyle w:val="a4"/>
          </w:rPr>
          <w:t>ст. 212</w:t>
        </w:r>
      </w:hyperlink>
      <w:r>
        <w:t xml:space="preserve"> Трудового кодекса Российской Федерации (далее – ТК РФ) на работодателя возлагается широкий круг обязанностей по обеспечению безопасных условий и охраны труда работников, находящихся с ним в тру</w:t>
      </w:r>
      <w:r>
        <w:t xml:space="preserve">довых отношениях. Это вызывает необходимость применения современных методов управления охраной труда в организации, которые позволяют придать мерам безопасности целенаправленный характер и привлечь к решению вопросов охраны труда не только руководителей и </w:t>
      </w:r>
      <w:r>
        <w:t>специалистов, но и работников рабочих профессий</w:t>
      </w:r>
      <w:r>
        <w:t>.</w:t>
      </w:r>
    </w:p>
    <w:p w:rsidR="00000000" w:rsidRDefault="00D24B1A">
      <w:pPr>
        <w:pStyle w:val="a3"/>
        <w:divId w:val="1002709197"/>
      </w:pPr>
      <w:r>
        <w:t>Такие методы давно применяются передовыми странами Европы и Америки и рекомендованы МОТ для применения всеми членами этой организации. Руководствуясь этими рекомендациями, странами СНГ был принят межгосударс</w:t>
      </w:r>
      <w:r>
        <w:t>твенный стандарт ГОСТ 12.0.230-2007"Система стандартов безопасности труда. Системы управления охраной труда. Общие требования". Приказом Федерального агентства по техническому регулированию и метрологии от 10 июля 2007 г. № 169-CT указанный ГОСТ вводится в</w:t>
      </w:r>
      <w:r>
        <w:t xml:space="preserve"> действие в качестве национального стандарта РФ с 1 июля 2009 г. взамен ГОСТ Р 12.0.006-2002</w:t>
      </w:r>
      <w:r>
        <w:t>.</w:t>
      </w:r>
    </w:p>
    <w:p w:rsidR="00000000" w:rsidRDefault="00D24B1A">
      <w:pPr>
        <w:pStyle w:val="a3"/>
        <w:divId w:val="1002709197"/>
      </w:pPr>
      <w:r>
        <w:t>Настоящий стандарт идентичен документу МОТ ILO-OSH 2001 "Руководство по системам управления охраной труда" (Guidelines on occupational safety and health managemen</w:t>
      </w:r>
      <w:r>
        <w:t xml:space="preserve">t systems). В то же время ГОСТ 12.0.230-2007 устанавливает самые общие принципы и положения системы управления охраной труда (далее – СУОТ), которые могут служить основой для подготовки практических рекомендаций по управлению охраной труда на строительных </w:t>
      </w:r>
      <w:r>
        <w:t>объектах. Примером таких практических рекомендаций является МДС 12-35.2007 "Методическое пособие по разработке распорядительной и регламентной документации системы управления охраной труда строительной организации", изданный ОАО ЦПП в 2008 г</w:t>
      </w:r>
      <w:r>
        <w:t>.</w:t>
      </w:r>
    </w:p>
    <w:p w:rsidR="00000000" w:rsidRDefault="00D24B1A">
      <w:pPr>
        <w:pStyle w:val="a3"/>
        <w:divId w:val="1002709197"/>
      </w:pPr>
      <w:r>
        <w:lastRenderedPageBreak/>
        <w:t>В этом докуме</w:t>
      </w:r>
      <w:r>
        <w:t>нте представлена нормативная база СУОТ, разработанная на основе государственных нормативных требований охраны труда, содержащихся в</w:t>
      </w:r>
      <w:r>
        <w:t xml:space="preserve"> </w:t>
      </w:r>
      <w:hyperlink r:id="rId5" w:anchor="/document/99/901807664/" w:history="1">
        <w:r>
          <w:rPr>
            <w:rStyle w:val="a4"/>
          </w:rPr>
          <w:t>ТК РФ</w:t>
        </w:r>
      </w:hyperlink>
      <w:r>
        <w:t xml:space="preserve"> , СНиП 12-03-2001 "Безопасность труда в строитель</w:t>
      </w:r>
      <w:r>
        <w:t xml:space="preserve">стве. Часть 1. Общие требования" (далее </w:t>
      </w:r>
      <w:r>
        <w:t>–</w:t>
      </w:r>
      <w:hyperlink r:id="rId6" w:anchor="/document/99/901794520/" w:history="1">
        <w:r>
          <w:rPr>
            <w:rStyle w:val="a4"/>
          </w:rPr>
          <w:t xml:space="preserve"> СНиП 12-03-2001</w:t>
        </w:r>
      </w:hyperlink>
      <w:r>
        <w:t xml:space="preserve"> ), и других нормативных правовых актах</w:t>
      </w:r>
      <w:r>
        <w:t>.</w:t>
      </w:r>
    </w:p>
    <w:p w:rsidR="00000000" w:rsidRDefault="00D24B1A">
      <w:pPr>
        <w:pStyle w:val="a3"/>
        <w:divId w:val="1002709197"/>
      </w:pPr>
      <w:r>
        <w:t>Оценка и профилактика профессионального риска – один из наиболее важных и сложных вопросо</w:t>
      </w:r>
      <w:r>
        <w:t>в СУОТ. За рубежом для оценки профессионального риска применяется методика экспертной оценки, позволяющая проводить оценку при минимальных затратах времени и денежных средств</w:t>
      </w:r>
      <w:r>
        <w:t>.</w:t>
      </w:r>
    </w:p>
    <w:p w:rsidR="00000000" w:rsidRDefault="00D24B1A">
      <w:pPr>
        <w:pStyle w:val="a3"/>
        <w:divId w:val="1002709197"/>
      </w:pPr>
      <w:r>
        <w:t>В нашей стране пока нет общепринятой методики оценки профессионального риска в с</w:t>
      </w:r>
      <w:r>
        <w:t xml:space="preserve">троительстве. Однако в практической деятельности по реализации СП 12-133-2000"Безопасность труда в строительстве. Положение о порядке аттестации рабочих мест по условиям труда в строительстве и жилищно-коммунальном хозяйстве", утв. постановлением Госстроя </w:t>
      </w:r>
      <w:r>
        <w:t>России от 31 марта 2000 г. № 26, накоплен достаточный опыт по проведению экспертной оценки безопасности нестационарных рабочих мест на строительных объектах. Это позволяет сделать вывод о том, что подобная работа может проводиться в рамках действующих госу</w:t>
      </w:r>
      <w:r>
        <w:t>дарственных нормативных требований охраны туда</w:t>
      </w:r>
      <w:r>
        <w:t>.</w:t>
      </w:r>
    </w:p>
    <w:p w:rsidR="00000000" w:rsidRDefault="00D24B1A">
      <w:pPr>
        <w:pStyle w:val="a3"/>
        <w:divId w:val="1002709197"/>
      </w:pPr>
      <w:r>
        <w:t>Номенклатура, условия возникновения и границы зоны действия основных опасных производственных факторов определен</w:t>
      </w:r>
      <w:r>
        <w:t>ы</w:t>
      </w:r>
      <w:hyperlink r:id="rId7" w:anchor="/document/99/901794520/" w:history="1">
        <w:r>
          <w:rPr>
            <w:rStyle w:val="a4"/>
          </w:rPr>
          <w:t xml:space="preserve"> СНиП 12-03-2001 </w:t>
        </w:r>
      </w:hyperlink>
      <w:r>
        <w:t>и</w:t>
      </w:r>
      <w:r>
        <w:t xml:space="preserve"> </w:t>
      </w:r>
      <w:hyperlink r:id="rId8" w:anchor="/document/99/901829466/" w:history="1">
        <w:r>
          <w:rPr>
            <w:rStyle w:val="a4"/>
          </w:rPr>
          <w:t>СНиП 12-04-2002</w:t>
        </w:r>
      </w:hyperlink>
      <w:r>
        <w:t xml:space="preserve"> "Безопасность труда в строительстве. Часть 2. Строительное производство" (далее – СНиП 12-04-2002)</w:t>
      </w:r>
      <w:r>
        <w:t>.</w:t>
      </w:r>
    </w:p>
    <w:p w:rsidR="00000000" w:rsidRDefault="00D24B1A">
      <w:pPr>
        <w:divId w:val="1349987882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D24B1A">
      <w:pPr>
        <w:pStyle w:val="a3"/>
        <w:divId w:val="1349987882"/>
      </w:pPr>
      <w:r>
        <w:t>каждый опасный или вредный производственный фактор имеет определенн</w:t>
      </w:r>
      <w:r>
        <w:t>ую зону действия, называемую опасной зоной. Согласно п. 4.8 СНиП 12-03-2001 перед началом работ в условиях риска необходимо выделить опасные для людей зоны, в которых действуют или могут действовать опасные факторы, связанные или несвязанные с характером в</w:t>
      </w:r>
      <w:r>
        <w:t>ыполняемых работ.</w:t>
      </w:r>
    </w:p>
    <w:p w:rsidR="00000000" w:rsidRDefault="00D24B1A">
      <w:pPr>
        <w:pStyle w:val="a3"/>
        <w:divId w:val="1002709197"/>
      </w:pPr>
      <w:r>
        <w:t>В зависимости от вероятности появления и действия опасных и (или) вредных производственных факторов опасные зоны подразделяются на две группы</w:t>
      </w:r>
      <w:r>
        <w:t>:</w:t>
      </w:r>
    </w:p>
    <w:p w:rsidR="00000000" w:rsidRDefault="00D24B1A">
      <w:pPr>
        <w:pStyle w:val="a3"/>
        <w:divId w:val="1002709197"/>
      </w:pPr>
      <w:r>
        <w:t>• зоны постоянно действующих опасных производственных факторов (далее – ОПФ), наличие которых с</w:t>
      </w:r>
      <w:r>
        <w:t>вязано с нормальным ходом процесса и заранее очевидно</w:t>
      </w:r>
      <w:r>
        <w:t>;</w:t>
      </w:r>
    </w:p>
    <w:p w:rsidR="00000000" w:rsidRDefault="00D24B1A">
      <w:pPr>
        <w:pStyle w:val="a3"/>
        <w:divId w:val="1002709197"/>
      </w:pPr>
      <w:r>
        <w:t xml:space="preserve">• зоны потенциально опасных факторов, которые возникают случайно, при нарушении нормального хода процесса. Основные меры профилактики воздействия на работников ОПФ связаны с применением средств защиты </w:t>
      </w:r>
      <w:r>
        <w:t>для ограничения доступа работников в опасные зоны и снижения вероятности воздействия на них опасных факторов при необходимости выполнения работ в опасных зонах, а также с предъявлением к работникам дополнительных требований по безопасности труда. Нарушение</w:t>
      </w:r>
      <w:r>
        <w:t xml:space="preserve"> этих базовых требований охраны труда приводит к возникновению опасных ситуаций, когда возникает реальная возможность воздействия ОПФ на работников</w:t>
      </w:r>
      <w:r>
        <w:t>.</w:t>
      </w:r>
    </w:p>
    <w:p w:rsidR="00000000" w:rsidRDefault="00D24B1A">
      <w:pPr>
        <w:pStyle w:val="a3"/>
        <w:divId w:val="1002709197"/>
      </w:pPr>
      <w:r>
        <w:t>В целях своевременного устранения нарушений охраны труда</w:t>
      </w:r>
      <w:r>
        <w:t xml:space="preserve"> </w:t>
      </w:r>
      <w:hyperlink r:id="rId9" w:anchor="/document/99/901794520/XA00M7S2MM/" w:history="1">
        <w:r>
          <w:rPr>
            <w:rStyle w:val="a4"/>
          </w:rPr>
          <w:t>п. 5.8</w:t>
        </w:r>
      </w:hyperlink>
      <w:r>
        <w:t xml:space="preserve"> СНиП 12-03-2001предусмотрены следующие уровни и формы проведения контроля</w:t>
      </w:r>
      <w:r>
        <w:t>:</w:t>
      </w:r>
    </w:p>
    <w:p w:rsidR="00000000" w:rsidRDefault="00D24B1A">
      <w:pPr>
        <w:pStyle w:val="a3"/>
        <w:divId w:val="1002709197"/>
      </w:pPr>
      <w:r>
        <w:lastRenderedPageBreak/>
        <w:t>• постоянный контроль работниками исправности оборудования, приспособлений, инструмента; проверка наличия и целостности ограждений, защитного за</w:t>
      </w:r>
      <w:r>
        <w:t>земления и других средств защиты до начала работ и в процессе работы на рабочих местах согласно инструкциям по охране труда</w:t>
      </w:r>
      <w:r>
        <w:t>;</w:t>
      </w:r>
    </w:p>
    <w:p w:rsidR="00000000" w:rsidRDefault="00D24B1A">
      <w:pPr>
        <w:pStyle w:val="a3"/>
        <w:divId w:val="1002709197"/>
      </w:pPr>
      <w:r>
        <w:t>• периодический оперативный контроль, проводимый руководителями работ и подразделений организации согласно их должностным обязаннос</w:t>
      </w:r>
      <w:r>
        <w:t>тям</w:t>
      </w:r>
      <w:r>
        <w:t>;</w:t>
      </w:r>
    </w:p>
    <w:p w:rsidR="00000000" w:rsidRDefault="00D24B1A">
      <w:pPr>
        <w:pStyle w:val="a3"/>
        <w:divId w:val="1002709197"/>
      </w:pPr>
      <w:r>
        <w:t>• выборочный контроль состояния условий и охраны труда в подразделениях организации, проводимый службой охраны труда согласно утвержденным планам.</w:t>
      </w:r>
      <w:r>
        <w:t xml:space="preserve"> </w:t>
      </w:r>
    </w:p>
    <w:p w:rsidR="00000000" w:rsidRDefault="00D24B1A">
      <w:pPr>
        <w:pStyle w:val="a3"/>
        <w:divId w:val="1002709197"/>
      </w:pPr>
      <w:r>
        <w:t>Целью проведения указанных мероприятий является выявление и своевременное устранение угрозы воздействия</w:t>
      </w:r>
      <w:r>
        <w:t xml:space="preserve"> опасных и (или) вредных производственных факторов на работников в связи с нарушениями государственных нормативных требований охраны труда. При обнаружении указанных нарушений работники, согласно</w:t>
      </w:r>
      <w:r>
        <w:t xml:space="preserve"> </w:t>
      </w:r>
      <w:hyperlink r:id="rId10" w:anchor="/document/99/901794520/XA00M7S2MM/" w:history="1">
        <w:r>
          <w:rPr>
            <w:rStyle w:val="a4"/>
          </w:rPr>
          <w:t>п. 5.8</w:t>
        </w:r>
      </w:hyperlink>
      <w:r>
        <w:t xml:space="preserve"> СНиП 12-03-2001, должны принять меры для их устранения, а в случае невозможности этого прекратить работы и информировать об этом руководителя работ, который обязан оценить уровень угрозы и принять необходимые меры по устранению о</w:t>
      </w:r>
      <w:r>
        <w:t>пасности. Если степень риска высокая и представляет непосредственную угрозу для жизни и здоровья работников, то эти мероприятия должны быть приняты незамедлительно</w:t>
      </w:r>
      <w:r>
        <w:t>.</w:t>
      </w:r>
    </w:p>
    <w:p w:rsidR="00000000" w:rsidRDefault="00D24B1A">
      <w:pPr>
        <w:pStyle w:val="a3"/>
        <w:divId w:val="1002709197"/>
      </w:pPr>
      <w:r>
        <w:t>В связи с такой постановкой вопроса становится очевидным, что в</w:t>
      </w:r>
      <w:r>
        <w:t xml:space="preserve"> </w:t>
      </w:r>
      <w:hyperlink r:id="rId11" w:anchor="/document/99/901794520/XA00M7S2MM/" w:history="1">
        <w:r>
          <w:rPr>
            <w:rStyle w:val="a4"/>
          </w:rPr>
          <w:t>п. 5.8</w:t>
        </w:r>
      </w:hyperlink>
      <w:r>
        <w:t xml:space="preserve"> СНиП 12-03-2001 вопросы контроля и оценки состояния охраны и условий безопасности труда рассматриваются совместно не случайно. Действительно, проведение контроля соответствия условий и охраны труд</w:t>
      </w:r>
      <w:r>
        <w:t>а нормативным требованиям без учета того, как эти нарушения влияют на изменение степени риска производственного травматизма, приводит к формальному выполнению этого важного мероприятия и не дает ожидаемого эффекта</w:t>
      </w:r>
      <w:r>
        <w:t>.</w:t>
      </w:r>
    </w:p>
    <w:p w:rsidR="00000000" w:rsidRDefault="00D24B1A">
      <w:pPr>
        <w:pStyle w:val="a3"/>
        <w:divId w:val="1002709197"/>
      </w:pPr>
      <w:r>
        <w:t xml:space="preserve">Таким образом, при проведении контроля и </w:t>
      </w:r>
      <w:r>
        <w:t>оценки состояния и условий труда необходимо в первую очередь фиксировать те нарушения нормативных требований, которые могут привести к травме на производстве. При этом следует учитывать, что любая производственная травма на строительном объекте является зв</w:t>
      </w:r>
      <w:r>
        <w:t>еном в последовательной цепи событий, возникающих вследствие нарушения нормативных требований охраны труда работниками при производстве работ в условиях действия опасных и (или) вредных производственных факторов. Вследствие нарушения одних требований охран</w:t>
      </w:r>
      <w:r>
        <w:t>ы труда работник попадает в опасную зону и создается опасная ситуация; при нарушении других требований эта опасная ситуация реализуется в производственную травму</w:t>
      </w:r>
      <w:r>
        <w:t>.</w:t>
      </w:r>
    </w:p>
    <w:p w:rsidR="00000000" w:rsidRDefault="00D24B1A">
      <w:pPr>
        <w:pStyle w:val="a3"/>
        <w:divId w:val="1002709197"/>
      </w:pPr>
      <w:r>
        <w:t>Для каждого типа опасных зон нормативами СНиП предусматриваются соответствующие средства защи</w:t>
      </w:r>
      <w:r>
        <w:t>ты и меры безопасности (табл. 1). Одним из признаков опасности является неприменение средств защиты и мер безопасности, что приводит к возникновению опасной ситуации, связанной с нахождением работника в опасной зоне</w:t>
      </w:r>
      <w:r>
        <w:t>.</w:t>
      </w:r>
    </w:p>
    <w:p w:rsidR="00000000" w:rsidRDefault="00D24B1A">
      <w:pPr>
        <w:pStyle w:val="a3"/>
        <w:divId w:val="1002709197"/>
      </w:pPr>
      <w:r>
        <w:rPr>
          <w:i/>
          <w:iCs/>
        </w:rPr>
        <w:t xml:space="preserve">Таблица </w:t>
      </w:r>
      <w:r>
        <w:rPr>
          <w:i/>
          <w:iCs/>
        </w:rPr>
        <w:t>1</w:t>
      </w:r>
    </w:p>
    <w:p w:rsidR="00000000" w:rsidRDefault="00D24B1A">
      <w:pPr>
        <w:pStyle w:val="a3"/>
        <w:divId w:val="1002709197"/>
      </w:pPr>
      <w:r>
        <w:rPr>
          <w:b/>
          <w:bCs/>
        </w:rPr>
        <w:t>Средства и меры безопасности,</w:t>
      </w:r>
      <w:r>
        <w:rPr>
          <w:b/>
          <w:bCs/>
        </w:rPr>
        <w:t xml:space="preserve"> предотвращающие воздействие ОПФ на работнико</w:t>
      </w:r>
      <w:r>
        <w:rPr>
          <w:b/>
          <w:bCs/>
        </w:rPr>
        <w:t>в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3575"/>
        <w:gridCol w:w="6114"/>
      </w:tblGrid>
      <w:tr w:rsidR="00000000">
        <w:trPr>
          <w:divId w:val="14481593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  <w:jc w:val="center"/>
            </w:pPr>
            <w:r>
              <w:rPr>
                <w:b/>
                <w:bCs/>
              </w:rPr>
              <w:t xml:space="preserve">Опасные зоны </w:t>
            </w:r>
            <w:r>
              <w:rPr>
                <w:b/>
                <w:bCs/>
              </w:rPr>
              <w:t>(</w:t>
            </w:r>
            <w:hyperlink r:id="rId12" w:anchor="/document/99/901794520/XA00M7G2MM/" w:history="1">
              <w:r>
                <w:rPr>
                  <w:rStyle w:val="a4"/>
                  <w:b/>
                  <w:bCs/>
                </w:rPr>
                <w:t>п. 4.9 СНиП 12-03-2002</w:t>
              </w:r>
            </w:hyperlink>
            <w:r>
              <w:rPr>
                <w:b/>
                <w:bCs/>
              </w:rPr>
              <w:t xml:space="preserve">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  <w:jc w:val="center"/>
            </w:pPr>
            <w:r>
              <w:rPr>
                <w:b/>
                <w:bCs/>
              </w:rPr>
              <w:t>Средства и меры безопасности</w:t>
            </w:r>
          </w:p>
        </w:tc>
      </w:tr>
      <w:tr w:rsidR="00000000">
        <w:trPr>
          <w:divId w:val="14481593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  <w:jc w:val="center"/>
            </w:pPr>
            <w:r>
              <w:t>2</w:t>
            </w:r>
          </w:p>
        </w:tc>
      </w:tr>
      <w:tr w:rsidR="00000000">
        <w:trPr>
          <w:divId w:val="14481593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Зоны постоянно действующих опасных производственных факторов, в т. ч.:</w:t>
            </w:r>
          </w:p>
          <w:p w:rsidR="00000000" w:rsidRDefault="00D24B1A">
            <w:pPr>
              <w:pStyle w:val="a3"/>
            </w:pPr>
            <w:r>
              <w:t>• места вблизи токоведущих частей электроустановок;</w:t>
            </w:r>
          </w:p>
          <w:p w:rsidR="00000000" w:rsidRDefault="00D24B1A">
            <w:pPr>
              <w:pStyle w:val="a3"/>
            </w:pPr>
            <w:r>
              <w:t>• места вблизи от неогражденных перепадов по высоте 1,3 м</w:t>
            </w:r>
          </w:p>
          <w:p w:rsidR="00000000" w:rsidRDefault="00D24B1A">
            <w:pPr>
              <w:pStyle w:val="a3"/>
            </w:pPr>
            <w:r>
              <w:t>и более;</w:t>
            </w:r>
          </w:p>
          <w:p w:rsidR="00000000" w:rsidRDefault="00D24B1A">
            <w:pPr>
              <w:pStyle w:val="a3"/>
            </w:pPr>
            <w:r>
              <w:t xml:space="preserve">• </w:t>
            </w:r>
            <w:r>
              <w:t>места, где возможно превышение концентрации вредных веществ в воздухе рабочей зоны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Применение средств коллективной защиты для предотвращения контакта работника с ОПФ, а также средств индивидуальной защиты (далее – СИЗ) от действия ОПФ; предъявление дополн</w:t>
            </w:r>
            <w:r>
              <w:t>ительных требований к работникам</w:t>
            </w:r>
          </w:p>
          <w:p w:rsidR="00000000" w:rsidRDefault="00D24B1A">
            <w:pPr>
              <w:pStyle w:val="a3"/>
            </w:pPr>
            <w:r>
              <w:t>Ограждение токоведущих частей; нахождение на безопасном расстоянии от токоведущих частей; применение СИЗ; предъявление дополнительных требований к работникам</w:t>
            </w:r>
          </w:p>
          <w:p w:rsidR="00000000" w:rsidRDefault="00D24B1A">
            <w:pPr>
              <w:pStyle w:val="a3"/>
            </w:pPr>
            <w:r>
              <w:t>Установка ограждений или защитно-улавливающих сеток; использовани</w:t>
            </w:r>
            <w:r>
              <w:t>е средств подмащивания; применение предохранительных поясов и страховочных канатов; предъявление дополнительных требований к работникам</w:t>
            </w:r>
          </w:p>
          <w:p w:rsidR="00000000" w:rsidRDefault="00D24B1A">
            <w:pPr>
              <w:pStyle w:val="a3"/>
            </w:pPr>
            <w:r>
              <w:t>Вентиляция, герметизация оборудования; применение СИЗ органов дыхания; предъявление дополнительных требований к работник</w:t>
            </w:r>
            <w:r>
              <w:t>ам</w:t>
            </w:r>
          </w:p>
        </w:tc>
      </w:tr>
      <w:tr w:rsidR="00000000">
        <w:trPr>
          <w:divId w:val="14481593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Потенциально опасные зоны, в т. ч.:</w:t>
            </w:r>
          </w:p>
          <w:p w:rsidR="00000000" w:rsidRDefault="00D24B1A">
            <w:pPr>
              <w:pStyle w:val="a3"/>
            </w:pPr>
            <w:r>
              <w:t>• места, над которыми происходит перемещение грузов кранами;</w:t>
            </w:r>
          </w:p>
          <w:p w:rsidR="00000000" w:rsidRDefault="00D24B1A">
            <w:pPr>
              <w:pStyle w:val="a3"/>
            </w:pPr>
            <w:r>
              <w:t>• участки, территории вблизи строящегося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Меры и средства по снижению вероятности возникновения ОПФ; информация работников о возможной опасности</w:t>
            </w:r>
          </w:p>
          <w:p w:rsidR="00000000" w:rsidRDefault="00D24B1A">
            <w:pPr>
              <w:pStyle w:val="a3"/>
            </w:pPr>
            <w:r>
              <w:t>Средства принудительного ограничения зоны работы крана, защитные экраны, сигнальные ограждения опасной зоны</w:t>
            </w:r>
          </w:p>
          <w:p w:rsidR="00000000" w:rsidRDefault="00D24B1A">
            <w:pPr>
              <w:pStyle w:val="a3"/>
            </w:pPr>
            <w:r>
              <w:t>Защитные сетки и настилы, сигнальные ограждения опасной зоны</w:t>
            </w:r>
          </w:p>
        </w:tc>
      </w:tr>
    </w:tbl>
    <w:p w:rsidR="00000000" w:rsidRDefault="00D24B1A">
      <w:pPr>
        <w:pStyle w:val="a3"/>
        <w:divId w:val="1002709197"/>
      </w:pPr>
      <w:r>
        <w:t>Указанные опасные зоны необходимо учитывать на стадии разработки проектов организации с</w:t>
      </w:r>
      <w:r>
        <w:t>троительства (далее – ПОС) и проектов производства работ (далее – ППР) при организации стройплощадки. Согласно</w:t>
      </w:r>
      <w:r>
        <w:t xml:space="preserve"> </w:t>
      </w:r>
      <w:hyperlink r:id="rId13" w:anchor="/document/99/901794520/XA00M8G2N0/" w:history="1">
        <w:r>
          <w:rPr>
            <w:rStyle w:val="a4"/>
          </w:rPr>
          <w:t xml:space="preserve">п. 4.10 </w:t>
        </w:r>
      </w:hyperlink>
      <w:r>
        <w:t>СНиП 12-03-2001 места временного или постоянного нахождения работников должны располагаться за пределами опасных зон. К таким местам следует в первую очередь относить санитарно-бытовые и производственные помещения, места отдыха, проходы для работников к ра</w:t>
      </w:r>
      <w:r>
        <w:t>бочим местам на объекте. К наиболее распространенным опасным зонам на строительной площадке относятся места, над которыми происходит перемещение грузов кранами</w:t>
      </w:r>
      <w:r>
        <w:t>.</w:t>
      </w:r>
    </w:p>
    <w:p w:rsidR="00000000" w:rsidRDefault="00D24B1A">
      <w:pPr>
        <w:pStyle w:val="a3"/>
        <w:divId w:val="1002709197"/>
      </w:pPr>
      <w:r>
        <w:t>На границах зон постоянно действующих ОПФ должны устанавливаться защитные ограждения, а зон пот</w:t>
      </w:r>
      <w:r>
        <w:t>енциально опасных производственных факторов – сигнальные ограждения и знаки безопасности</w:t>
      </w:r>
      <w:r>
        <w:t>.</w:t>
      </w:r>
    </w:p>
    <w:p w:rsidR="00000000" w:rsidRDefault="00D24B1A">
      <w:pPr>
        <w:pStyle w:val="a3"/>
        <w:divId w:val="1002709197"/>
      </w:pPr>
      <w:r>
        <w:t>Согласно</w:t>
      </w:r>
      <w:r>
        <w:t xml:space="preserve"> </w:t>
      </w:r>
      <w:hyperlink r:id="rId14" w:anchor="/document/97/105966/" w:history="1">
        <w:r>
          <w:rPr>
            <w:rStyle w:val="a4"/>
          </w:rPr>
          <w:t>ГОСТ Р 51898-2002</w:t>
        </w:r>
      </w:hyperlink>
      <w:r>
        <w:t xml:space="preserve"> "Аспекты безопасности. Правила включения в стандарты" понятие "риск" опре</w:t>
      </w:r>
      <w:r>
        <w:t>деляет сочетание вероятности нанесения ущерба и тяжести этого ущерба. Исходя из этого, для определения степени угрозы необходимо оценить вероятность воздействия опасного и (или) вредного производственного фактора на работника и ожидаемую тяжесть последстви</w:t>
      </w:r>
      <w:r>
        <w:t xml:space="preserve">й от этого события. Учитывая, что в нашем </w:t>
      </w:r>
      <w:r>
        <w:lastRenderedPageBreak/>
        <w:t>случае понятие "риск" относится к работникам, его принято называть "профессиональный риск". В этом случае опасные и вредные производственные факторы, о которых шла речь выше, можно считать факторами профессионально</w:t>
      </w:r>
      <w:r>
        <w:t>го риска</w:t>
      </w:r>
      <w:r>
        <w:t>.</w:t>
      </w:r>
    </w:p>
    <w:p w:rsidR="00000000" w:rsidRDefault="00D24B1A">
      <w:pPr>
        <w:divId w:val="1242568407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D24B1A">
      <w:pPr>
        <w:pStyle w:val="a3"/>
        <w:divId w:val="1242568407"/>
      </w:pPr>
      <w:r>
        <w:t xml:space="preserve">вероятность воздействия ОПФ должна определяться с учетом вероятностного характера его действия. Вероятность воздействия на работника постоянно действующего ОПФ, вероятность возникновения которого равна 1, определяется вероятностью его </w:t>
      </w:r>
      <w:r>
        <w:t>ошибочных действий. Вероятность воздействия на работника потенциально опасного производственного фактора равна произведению вероятности его возникновения и вероятности нахождения работника в зоне его действия.</w:t>
      </w:r>
    </w:p>
    <w:p w:rsidR="00000000" w:rsidRDefault="00D24B1A">
      <w:pPr>
        <w:pStyle w:val="a3"/>
        <w:divId w:val="1002709197"/>
      </w:pPr>
      <w:r>
        <w:rPr>
          <w:b/>
          <w:bCs/>
        </w:rPr>
        <w:t>С учетом того, что эта оценка производится экспертно, принято различать следующие уровни вероятности воздействия ОПФ на работника</w:t>
      </w:r>
      <w:r>
        <w:rPr>
          <w:b/>
          <w:bCs/>
        </w:rPr>
        <w:t>:</w:t>
      </w:r>
    </w:p>
    <w:p w:rsidR="00000000" w:rsidRDefault="00D24B1A">
      <w:pPr>
        <w:pStyle w:val="a3"/>
        <w:divId w:val="1002709197"/>
      </w:pPr>
      <w:r>
        <w:t>• низкий – маловероятно, что угроза может произойти в ближайшее время</w:t>
      </w:r>
      <w:r>
        <w:t>;</w:t>
      </w:r>
    </w:p>
    <w:p w:rsidR="00000000" w:rsidRDefault="00D24B1A">
      <w:pPr>
        <w:pStyle w:val="a3"/>
        <w:divId w:val="1002709197"/>
      </w:pPr>
      <w:r>
        <w:t>• средний – угрозы могут произойти в ближайшее время</w:t>
      </w:r>
      <w:r>
        <w:t>;</w:t>
      </w:r>
    </w:p>
    <w:p w:rsidR="00000000" w:rsidRDefault="00D24B1A">
      <w:pPr>
        <w:pStyle w:val="a3"/>
        <w:divId w:val="1002709197"/>
      </w:pPr>
      <w:r>
        <w:t>• высокий – угрозы могут возникать прямо сейчас</w:t>
      </w:r>
      <w:r>
        <w:t>.</w:t>
      </w:r>
    </w:p>
    <w:p w:rsidR="00000000" w:rsidRDefault="00D24B1A">
      <w:pPr>
        <w:pStyle w:val="a3"/>
        <w:divId w:val="1002709197"/>
      </w:pPr>
      <w:r>
        <w:t xml:space="preserve">Как правило, оценка степени риска в каждом конкретном случае делается экспертно на основе проверки наличия или отсутствия факторов угрозы. На строительных объектах признаками угрозы являются опасные условия </w:t>
      </w:r>
      <w:r>
        <w:t xml:space="preserve">работ и опасные действия работников, которые могут приводить к возникновению пожаров, взрывов, обрушению конструкций и опрокидыванию машин, падению работников с высоты и другим опасным инцидентам, когда опасность становится очевидной и распространяется на </w:t>
      </w:r>
      <w:r>
        <w:t>всех работников, находящихся в зоне риска</w:t>
      </w:r>
      <w:r>
        <w:t>.</w:t>
      </w:r>
    </w:p>
    <w:p w:rsidR="00000000" w:rsidRDefault="00D24B1A">
      <w:pPr>
        <w:pStyle w:val="a3"/>
        <w:divId w:val="1002709197"/>
      </w:pPr>
      <w:r>
        <w:t>Однако в ряде случаев признаки угрозы не имеют явно выраженного объективного характера. Тогда необходимо в каждом конкретном случае прогнозировать, каким образом то или иное нарушение требований охраны труда может</w:t>
      </w:r>
      <w:r>
        <w:t xml:space="preserve"> привести к производственной травме, что может быть оценено степенью риска</w:t>
      </w:r>
      <w:r>
        <w:t>.</w:t>
      </w:r>
    </w:p>
    <w:p w:rsidR="00000000" w:rsidRDefault="00D24B1A">
      <w:pPr>
        <w:pStyle w:val="a3"/>
        <w:divId w:val="1002709197"/>
      </w:pPr>
      <w:r>
        <w:t>Тяжесть последствий принято определять также экспертно с учетом нормативной характеристики опасного уровня рассматриваемого производственного фактора, в т. ч.</w:t>
      </w:r>
      <w:r>
        <w:t>:</w:t>
      </w:r>
    </w:p>
    <w:p w:rsidR="00000000" w:rsidRDefault="00D24B1A">
      <w:pPr>
        <w:pStyle w:val="a3"/>
        <w:divId w:val="1002709197"/>
      </w:pPr>
      <w:r>
        <w:t>• для вредных произв</w:t>
      </w:r>
      <w:r>
        <w:t>одственных факторов такой характеристикой являютс</w:t>
      </w:r>
      <w:r>
        <w:t>я</w:t>
      </w:r>
      <w:hyperlink r:id="rId15" w:anchor="/document/113/5215/" w:tooltip="Предельно допустимая концентрация опасного вещества" w:history="1">
        <w:r>
          <w:rPr>
            <w:rStyle w:val="a4"/>
          </w:rPr>
          <w:t xml:space="preserve"> предельно допустимые концентрации</w:t>
        </w:r>
      </w:hyperlink>
      <w:r>
        <w:t xml:space="preserve"> (ПДК) и предельно допустимые уровни (ПДУ) опасног</w:t>
      </w:r>
      <w:r>
        <w:t>о воздействия, которые установлены нормативно и определяются посредством инструментальных замеров</w:t>
      </w:r>
      <w:r>
        <w:t>;</w:t>
      </w:r>
    </w:p>
    <w:p w:rsidR="00000000" w:rsidRDefault="00D24B1A">
      <w:pPr>
        <w:pStyle w:val="a3"/>
        <w:divId w:val="1002709197"/>
      </w:pPr>
      <w:r>
        <w:t>• при работе на высоте – величина перепада по высоте</w:t>
      </w:r>
      <w:r>
        <w:t>;</w:t>
      </w:r>
    </w:p>
    <w:p w:rsidR="00000000" w:rsidRDefault="00D24B1A">
      <w:pPr>
        <w:pStyle w:val="a3"/>
        <w:divId w:val="1002709197"/>
      </w:pPr>
      <w:r>
        <w:t>• при опасности поражением электротоком – сила тока</w:t>
      </w:r>
      <w:r>
        <w:t>.</w:t>
      </w:r>
    </w:p>
    <w:p w:rsidR="00000000" w:rsidRDefault="00D24B1A">
      <w:pPr>
        <w:pStyle w:val="a3"/>
        <w:divId w:val="1002709197"/>
      </w:pPr>
      <w:r>
        <w:t>С учетом качественной характеристики уровня опасно</w:t>
      </w:r>
      <w:r>
        <w:t>го воздействия принято определять следующие уровни тяжести</w:t>
      </w:r>
      <w:r>
        <w:t>:</w:t>
      </w:r>
    </w:p>
    <w:p w:rsidR="00000000" w:rsidRDefault="00D24B1A">
      <w:pPr>
        <w:pStyle w:val="a3"/>
        <w:divId w:val="1002709197"/>
      </w:pPr>
      <w:r>
        <w:t>• умеренный – травмы и заболевания не ведут к затяжному расстройству (недомоганию)</w:t>
      </w:r>
      <w:r>
        <w:t>;</w:t>
      </w:r>
    </w:p>
    <w:p w:rsidR="00000000" w:rsidRDefault="00D24B1A">
      <w:pPr>
        <w:pStyle w:val="a3"/>
        <w:divId w:val="1002709197"/>
      </w:pPr>
      <w:r>
        <w:lastRenderedPageBreak/>
        <w:t>• достаточно серьезный – травмы и заболевания могут привести к затяжному или периодическому заболеванию</w:t>
      </w:r>
      <w:r>
        <w:t>;</w:t>
      </w:r>
    </w:p>
    <w:p w:rsidR="00000000" w:rsidRDefault="00D24B1A">
      <w:pPr>
        <w:pStyle w:val="a3"/>
        <w:divId w:val="1002709197"/>
      </w:pPr>
      <w:r>
        <w:t>• крайн</w:t>
      </w:r>
      <w:r>
        <w:t>е тяжелый – инвалидный или летальный исход одного или нескольких работников</w:t>
      </w:r>
      <w:r>
        <w:t>.</w:t>
      </w:r>
    </w:p>
    <w:p w:rsidR="00000000" w:rsidRDefault="00D24B1A">
      <w:pPr>
        <w:pStyle w:val="a3"/>
        <w:divId w:val="1002709197"/>
      </w:pPr>
      <w:r>
        <w:t>Оценка профессионального риска осуществляется на основе совместного учета обоих указанных выше параметров профессионального риска путем определения класса условий труда и категори</w:t>
      </w:r>
      <w:r>
        <w:t>и степени профессионального риска (табл. 2)</w:t>
      </w:r>
      <w:r>
        <w:t>.</w:t>
      </w:r>
    </w:p>
    <w:p w:rsidR="00000000" w:rsidRDefault="00D24B1A">
      <w:pPr>
        <w:pStyle w:val="a3"/>
        <w:divId w:val="1002709197"/>
      </w:pPr>
      <w:r>
        <w:rPr>
          <w:i/>
          <w:iCs/>
        </w:rPr>
        <w:t>Таблица</w:t>
      </w:r>
      <w:r>
        <w:rPr>
          <w:i/>
          <w:iCs/>
        </w:rPr>
        <w:t>2</w:t>
      </w:r>
    </w:p>
    <w:p w:rsidR="00000000" w:rsidRDefault="00D24B1A">
      <w:pPr>
        <w:pStyle w:val="a3"/>
        <w:divId w:val="1002709197"/>
      </w:pPr>
      <w:r>
        <w:t>Классы условий труда и категории степени профессионального риск</w:t>
      </w:r>
      <w:r>
        <w:t>а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3149"/>
        <w:gridCol w:w="2081"/>
        <w:gridCol w:w="2304"/>
        <w:gridCol w:w="2155"/>
      </w:tblGrid>
      <w:tr w:rsidR="00000000">
        <w:trPr>
          <w:divId w:val="26758809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  <w:jc w:val="center"/>
            </w:pPr>
            <w:r>
              <w:t>Уровень вероятности воздействия ОПФ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  <w:jc w:val="center"/>
            </w:pPr>
            <w:r>
              <w:t>Уровень степени тяжести</w:t>
            </w:r>
          </w:p>
        </w:tc>
      </w:tr>
      <w:tr w:rsidR="00000000">
        <w:trPr>
          <w:divId w:val="2675880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  <w:jc w:val="center"/>
            </w:pPr>
            <w:r>
              <w:t>Умеренный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  <w:jc w:val="center"/>
            </w:pPr>
            <w:r>
              <w:t>Достаточно серьезный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  <w:jc w:val="center"/>
            </w:pPr>
            <w:r>
              <w:t>Крайне тяжелый</w:t>
            </w:r>
          </w:p>
        </w:tc>
      </w:tr>
      <w:tr w:rsidR="00000000">
        <w:trPr>
          <w:divId w:val="267588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Низкий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Малый –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Умеренный –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Существенный – 3</w:t>
            </w:r>
          </w:p>
        </w:tc>
      </w:tr>
      <w:tr w:rsidR="00000000">
        <w:trPr>
          <w:divId w:val="267588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Средний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Умеренный –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Существенный –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Высокий – 4</w:t>
            </w:r>
          </w:p>
        </w:tc>
      </w:tr>
      <w:tr w:rsidR="00000000">
        <w:trPr>
          <w:divId w:val="267588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Высокий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Существенный –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Высокий –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Крайне высокий – 5</w:t>
            </w:r>
          </w:p>
        </w:tc>
      </w:tr>
    </w:tbl>
    <w:p w:rsidR="00000000" w:rsidRDefault="00D24B1A">
      <w:pPr>
        <w:pStyle w:val="a3"/>
        <w:divId w:val="1002709197"/>
      </w:pPr>
      <w:r>
        <w:t>Чтобы подкрепить количественными оценками качественную градацию степени профессионального риска, применяется балльная оценка параметров профессионального риска</w:t>
      </w:r>
      <w:r>
        <w:t>.</w:t>
      </w:r>
    </w:p>
    <w:p w:rsidR="00000000" w:rsidRDefault="00D24B1A">
      <w:pPr>
        <w:divId w:val="233860742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Пример:</w:t>
      </w:r>
      <w:r>
        <w:rPr>
          <w:rFonts w:eastAsia="Times New Roman"/>
        </w:rPr>
        <w:t> </w:t>
      </w:r>
    </w:p>
    <w:p w:rsidR="00000000" w:rsidRDefault="00D24B1A">
      <w:pPr>
        <w:pStyle w:val="a3"/>
        <w:divId w:val="233860742"/>
      </w:pPr>
      <w:r>
        <w:t>В качестве примера можно привести метод Файн - Кинни, по которому степень профессионал</w:t>
      </w:r>
      <w:r>
        <w:t>ьного риска определяется как произведение трех составляющих: подверженность, вероятность, последствия.</w:t>
      </w:r>
    </w:p>
    <w:p w:rsidR="00000000" w:rsidRDefault="00D24B1A">
      <w:pPr>
        <w:pStyle w:val="a3"/>
        <w:divId w:val="1002709197"/>
      </w:pPr>
      <w:r>
        <w:t>Подверженность – характеризует частоту возникновения опасной ситуации, которая может изменяться от 10 до 0, в т. ч.</w:t>
      </w:r>
      <w:r>
        <w:t>:</w:t>
      </w:r>
    </w:p>
    <w:p w:rsidR="00000000" w:rsidRDefault="00D24B1A">
      <w:pPr>
        <w:pStyle w:val="a3"/>
        <w:divId w:val="1002709197"/>
      </w:pPr>
      <w:r>
        <w:t>• постоянная – 10</w:t>
      </w:r>
      <w:r>
        <w:t>;</w:t>
      </w:r>
    </w:p>
    <w:p w:rsidR="00000000" w:rsidRDefault="00D24B1A">
      <w:pPr>
        <w:pStyle w:val="a3"/>
        <w:divId w:val="1002709197"/>
      </w:pPr>
      <w:r>
        <w:t>• регулярная (еже</w:t>
      </w:r>
      <w:r>
        <w:t>дневная) – 6</w:t>
      </w:r>
      <w:r>
        <w:t>;</w:t>
      </w:r>
    </w:p>
    <w:p w:rsidR="00000000" w:rsidRDefault="00D24B1A">
      <w:pPr>
        <w:pStyle w:val="a3"/>
        <w:divId w:val="1002709197"/>
      </w:pPr>
      <w:r>
        <w:t>• время от времени (еженедельно) – 3</w:t>
      </w:r>
      <w:r>
        <w:t>;</w:t>
      </w:r>
    </w:p>
    <w:p w:rsidR="00000000" w:rsidRDefault="00D24B1A">
      <w:pPr>
        <w:pStyle w:val="a3"/>
        <w:divId w:val="1002709197"/>
      </w:pPr>
      <w:r>
        <w:t>• иногда (ежемесячно) – 2</w:t>
      </w:r>
      <w:r>
        <w:t>;</w:t>
      </w:r>
    </w:p>
    <w:p w:rsidR="00000000" w:rsidRDefault="00D24B1A">
      <w:pPr>
        <w:pStyle w:val="a3"/>
        <w:divId w:val="1002709197"/>
      </w:pPr>
      <w:r>
        <w:t>• редко (ежегодно) – 1</w:t>
      </w:r>
      <w:r>
        <w:t>;</w:t>
      </w:r>
    </w:p>
    <w:p w:rsidR="00000000" w:rsidRDefault="00D24B1A">
      <w:pPr>
        <w:pStyle w:val="a3"/>
        <w:divId w:val="1002709197"/>
      </w:pPr>
      <w:r>
        <w:t>• очень редко – 0,5</w:t>
      </w:r>
      <w:r>
        <w:t>;</w:t>
      </w:r>
    </w:p>
    <w:p w:rsidR="00000000" w:rsidRDefault="00D24B1A">
      <w:pPr>
        <w:pStyle w:val="a3"/>
        <w:divId w:val="1002709197"/>
      </w:pPr>
      <w:r>
        <w:t>• никогда – 0</w:t>
      </w:r>
      <w:r>
        <w:t>.</w:t>
      </w:r>
    </w:p>
    <w:p w:rsidR="00000000" w:rsidRDefault="00D24B1A">
      <w:pPr>
        <w:pStyle w:val="a3"/>
        <w:divId w:val="1002709197"/>
      </w:pPr>
      <w:r>
        <w:lastRenderedPageBreak/>
        <w:t>Вероятность – характеризует вероятность воздействия опасного фактора на работника в условиях опасной ситуации. Данная</w:t>
      </w:r>
      <w:r>
        <w:t xml:space="preserve"> составляющая также может изменяться от 10 до 0, в т. ч.</w:t>
      </w:r>
      <w:r>
        <w:t>:</w:t>
      </w:r>
    </w:p>
    <w:p w:rsidR="00000000" w:rsidRDefault="00D24B1A">
      <w:pPr>
        <w:pStyle w:val="a3"/>
        <w:divId w:val="1002709197"/>
      </w:pPr>
      <w:r>
        <w:t>• ожидаемо (это случится) – 10</w:t>
      </w:r>
      <w:r>
        <w:t>;</w:t>
      </w:r>
    </w:p>
    <w:p w:rsidR="00000000" w:rsidRDefault="00D24B1A">
      <w:pPr>
        <w:pStyle w:val="a3"/>
        <w:divId w:val="1002709197"/>
      </w:pPr>
      <w:r>
        <w:t>• очень вероятно – 6</w:t>
      </w:r>
      <w:r>
        <w:t>;</w:t>
      </w:r>
    </w:p>
    <w:p w:rsidR="00000000" w:rsidRDefault="00D24B1A">
      <w:pPr>
        <w:pStyle w:val="a3"/>
        <w:divId w:val="1002709197"/>
      </w:pPr>
      <w:r>
        <w:t>• маловероятно, но возможно – 3</w:t>
      </w:r>
      <w:r>
        <w:t>;</w:t>
      </w:r>
    </w:p>
    <w:p w:rsidR="00000000" w:rsidRDefault="00D24B1A">
      <w:pPr>
        <w:pStyle w:val="a3"/>
        <w:divId w:val="1002709197"/>
      </w:pPr>
      <w:r>
        <w:t>• невероятно – 1</w:t>
      </w:r>
      <w:r>
        <w:t>;</w:t>
      </w:r>
    </w:p>
    <w:p w:rsidR="00000000" w:rsidRDefault="00D24B1A">
      <w:pPr>
        <w:pStyle w:val="a3"/>
        <w:divId w:val="1002709197"/>
      </w:pPr>
      <w:r>
        <w:t>• можно предположить, но невероятно – 0,5</w:t>
      </w:r>
      <w:r>
        <w:t>;</w:t>
      </w:r>
    </w:p>
    <w:p w:rsidR="00000000" w:rsidRDefault="00D24B1A">
      <w:pPr>
        <w:pStyle w:val="a3"/>
        <w:divId w:val="1002709197"/>
      </w:pPr>
      <w:r>
        <w:t>• почти невозможно – 0,2</w:t>
      </w:r>
      <w:r>
        <w:t>;</w:t>
      </w:r>
    </w:p>
    <w:p w:rsidR="00000000" w:rsidRDefault="00D24B1A">
      <w:pPr>
        <w:pStyle w:val="a3"/>
        <w:divId w:val="1002709197"/>
      </w:pPr>
      <w:r>
        <w:t xml:space="preserve">• почти невообразимо – </w:t>
      </w:r>
      <w:r>
        <w:t>1</w:t>
      </w:r>
      <w:r>
        <w:t>;</w:t>
      </w:r>
    </w:p>
    <w:p w:rsidR="00000000" w:rsidRDefault="00D24B1A">
      <w:pPr>
        <w:pStyle w:val="a3"/>
        <w:divId w:val="1002709197"/>
      </w:pPr>
      <w:r>
        <w:t>• абсолютно невозможно – 0</w:t>
      </w:r>
      <w:r>
        <w:t>.</w:t>
      </w:r>
    </w:p>
    <w:p w:rsidR="00000000" w:rsidRDefault="00D24B1A">
      <w:pPr>
        <w:pStyle w:val="a3"/>
        <w:divId w:val="1002709197"/>
      </w:pPr>
      <w:r>
        <w:t>Последствия – характеризует тяжесть последствий в случае реализации опасной ситуации и может изменяться от 100 до 1, в т. ч.</w:t>
      </w:r>
      <w:r>
        <w:t>:</w:t>
      </w:r>
    </w:p>
    <w:p w:rsidR="00000000" w:rsidRDefault="00D24B1A">
      <w:pPr>
        <w:pStyle w:val="a3"/>
        <w:divId w:val="1002709197"/>
      </w:pPr>
      <w:r>
        <w:t>• катастрофа, много жертв – 100</w:t>
      </w:r>
      <w:r>
        <w:t>;</w:t>
      </w:r>
    </w:p>
    <w:p w:rsidR="00000000" w:rsidRDefault="00D24B1A">
      <w:pPr>
        <w:pStyle w:val="a3"/>
        <w:divId w:val="1002709197"/>
      </w:pPr>
      <w:r>
        <w:t>• авария, несколько жертв – 40</w:t>
      </w:r>
      <w:r>
        <w:t>;</w:t>
      </w:r>
    </w:p>
    <w:p w:rsidR="00000000" w:rsidRDefault="00D24B1A">
      <w:pPr>
        <w:pStyle w:val="a3"/>
        <w:divId w:val="1002709197"/>
      </w:pPr>
      <w:r>
        <w:t>• очень тяжелые, 1 человек погиб –</w:t>
      </w:r>
      <w:r>
        <w:t xml:space="preserve"> 15</w:t>
      </w:r>
      <w:r>
        <w:t>;</w:t>
      </w:r>
    </w:p>
    <w:p w:rsidR="00000000" w:rsidRDefault="00D24B1A">
      <w:pPr>
        <w:pStyle w:val="a3"/>
        <w:divId w:val="1002709197"/>
      </w:pPr>
      <w:r>
        <w:t>• тяжелые, инвалидность – 7</w:t>
      </w:r>
      <w:r>
        <w:t>;</w:t>
      </w:r>
    </w:p>
    <w:p w:rsidR="00000000" w:rsidRDefault="00D24B1A">
      <w:pPr>
        <w:pStyle w:val="a3"/>
        <w:divId w:val="1002709197"/>
      </w:pPr>
      <w:r>
        <w:t>• серьезная травма и невыход на работу – 3</w:t>
      </w:r>
      <w:r>
        <w:t>;</w:t>
      </w:r>
    </w:p>
    <w:p w:rsidR="00000000" w:rsidRDefault="00D24B1A">
      <w:pPr>
        <w:pStyle w:val="a3"/>
        <w:divId w:val="1002709197"/>
      </w:pPr>
      <w:r>
        <w:t>• минимальные, оказание первой помощи – 1</w:t>
      </w:r>
      <w:r>
        <w:t>.</w:t>
      </w:r>
    </w:p>
    <w:p w:rsidR="00000000" w:rsidRDefault="00D24B1A">
      <w:pPr>
        <w:pStyle w:val="a3"/>
        <w:divId w:val="1002709197"/>
      </w:pPr>
      <w:r>
        <w:t>Произведение указанных составляющих позволяет определить индекс профессионального риска. При этом срочность проведения мероприятий по п</w:t>
      </w:r>
      <w:r>
        <w:t>рофилактике профессионального риска определяется в зависимости от категории и индекса профессионального риска (табл. 3)</w:t>
      </w:r>
      <w:r>
        <w:t>.</w:t>
      </w:r>
    </w:p>
    <w:p w:rsidR="00000000" w:rsidRDefault="00D24B1A">
      <w:pPr>
        <w:pStyle w:val="a3"/>
        <w:divId w:val="1002709197"/>
      </w:pPr>
      <w:r>
        <w:rPr>
          <w:i/>
          <w:iCs/>
        </w:rPr>
        <w:t xml:space="preserve">Таблица </w:t>
      </w:r>
      <w:r>
        <w:rPr>
          <w:i/>
          <w:iCs/>
        </w:rPr>
        <w:t>3</w:t>
      </w:r>
    </w:p>
    <w:p w:rsidR="00000000" w:rsidRDefault="00D24B1A">
      <w:pPr>
        <w:pStyle w:val="a3"/>
        <w:divId w:val="1002709197"/>
      </w:pPr>
      <w:r>
        <w:rPr>
          <w:b/>
          <w:bCs/>
        </w:rPr>
        <w:t>Определение срочности мероприятий по профилактике профессионального риск</w:t>
      </w:r>
      <w:r>
        <w:rPr>
          <w:b/>
          <w:bCs/>
        </w:rPr>
        <w:t>а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2190"/>
        <w:gridCol w:w="1563"/>
        <w:gridCol w:w="5936"/>
      </w:tblGrid>
      <w:tr w:rsidR="00000000">
        <w:trPr>
          <w:divId w:val="1955669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  <w:jc w:val="center"/>
            </w:pPr>
            <w:r>
              <w:rPr>
                <w:b/>
                <w:bCs/>
              </w:rPr>
              <w:t>Категория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  <w:jc w:val="center"/>
            </w:pPr>
            <w:r>
              <w:rPr>
                <w:b/>
                <w:bCs/>
              </w:rPr>
              <w:t>Индекс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  <w:jc w:val="center"/>
            </w:pPr>
            <w:r>
              <w:rPr>
                <w:b/>
                <w:bCs/>
              </w:rPr>
              <w:t>Срочность мероприятий</w:t>
            </w:r>
          </w:p>
        </w:tc>
      </w:tr>
      <w:tr w:rsidR="00000000">
        <w:trPr>
          <w:divId w:val="1955669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Малый –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0–20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Меры не требуются, но уязвимые лица нуждаются в дополнительной защите*</w:t>
            </w:r>
          </w:p>
        </w:tc>
      </w:tr>
      <w:tr w:rsidR="00000000">
        <w:trPr>
          <w:divId w:val="1955669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Умеренный –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20–70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Требуются меры по снижению степени риска</w:t>
            </w:r>
          </w:p>
        </w:tc>
      </w:tr>
      <w:tr w:rsidR="00000000">
        <w:trPr>
          <w:divId w:val="1955669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lastRenderedPageBreak/>
              <w:t>Существенный –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70–200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Требуются меры по снижению степени риска в установленные сроки</w:t>
            </w:r>
          </w:p>
        </w:tc>
      </w:tr>
      <w:tr w:rsidR="00000000">
        <w:trPr>
          <w:divId w:val="1955669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Высокий –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200–4000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Требуются неотложные меры по снижению степени риска</w:t>
            </w:r>
          </w:p>
        </w:tc>
      </w:tr>
      <w:tr w:rsidR="00000000">
        <w:trPr>
          <w:divId w:val="1955669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Крайне высокий –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&gt; 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B1A">
            <w:pPr>
              <w:pStyle w:val="a3"/>
            </w:pPr>
            <w:r>
              <w:t>Требуется прекращение деятельности</w:t>
            </w:r>
          </w:p>
        </w:tc>
      </w:tr>
    </w:tbl>
    <w:p w:rsidR="00000000" w:rsidRDefault="00D24B1A">
      <w:pPr>
        <w:pStyle w:val="a3"/>
        <w:divId w:val="1002709197"/>
      </w:pPr>
      <w:r>
        <w:rPr>
          <w:i/>
          <w:iCs/>
        </w:rPr>
        <w:t>* К уязвимым лицам относят: несовершеннолетних, беременных женщин, кормящих матерей и инвалидов</w:t>
      </w:r>
      <w:r>
        <w:rPr>
          <w:i/>
          <w:iCs/>
        </w:rPr>
        <w:t>.</w:t>
      </w:r>
    </w:p>
    <w:p w:rsidR="00000000" w:rsidRDefault="00D24B1A">
      <w:pPr>
        <w:pStyle w:val="a3"/>
        <w:divId w:val="1002709197"/>
      </w:pPr>
      <w:r>
        <w:t>Учитывая, что оценка профессионально го риска является наиболее важным звеном СУОТ, внедрение соответствующей методики имеет первостепенное значение для строит</w:t>
      </w:r>
      <w:r>
        <w:t>ельных организаций, стремящихся к повышению конкурентоспособности до уровня передовых развитых стран.</w:t>
      </w:r>
      <w:r>
        <w:t xml:space="preserve"> </w:t>
      </w:r>
    </w:p>
    <w:p w:rsidR="00D24B1A" w:rsidRDefault="00D24B1A">
      <w:pPr>
        <w:divId w:val="662776018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D24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D22B66"/>
    <w:rsid w:val="00D22B66"/>
    <w:rsid w:val="00D2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76018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21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9197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908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5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67579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9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048112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0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6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13" Type="http://schemas.openxmlformats.org/officeDocument/2006/relationships/hyperlink" Target="https://vip.1otrud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otruda.ru/" TargetMode="External"/><Relationship Id="rId12" Type="http://schemas.openxmlformats.org/officeDocument/2006/relationships/hyperlink" Target="https://vip.1otruda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15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4" Type="http://schemas.openxmlformats.org/officeDocument/2006/relationships/hyperlink" Target="https://vip.1otruda.ru/" TargetMode="External"/><Relationship Id="rId9" Type="http://schemas.openxmlformats.org/officeDocument/2006/relationships/hyperlink" Target="https://vip.1otruda.ru/" TargetMode="External"/><Relationship Id="rId14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2686</Words>
  <Characters>15313</Characters>
  <Application>Microsoft Office Word</Application>
  <DocSecurity>0</DocSecurity>
  <Lines>127</Lines>
  <Paragraphs>35</Paragraphs>
  <ScaleCrop>false</ScaleCrop>
  <Company/>
  <LinksUpToDate>false</LinksUpToDate>
  <CharactersWithSpaces>17964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2018-10-07T21:34:00Z</dcterms:created>
  <dcterms:modified xsi:type="dcterms:W3CDTF">2018-10-07T21:34:00Z</dcterms:modified>
</cp:coreProperties>
</file>