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7E537A">
      <w:pPr>
        <w:pStyle w:val="electron-p"/>
        <w:spacing w:after="280" w:afterAutospacing="1"/>
      </w:pPr>
      <w:r>
        <w:t>Электронный журнал</w:t>
      </w:r>
    </w:p>
    <w:p w:rsidR="00000000" w:rsidRDefault="00697D3D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E537A">
      <w:pPr>
        <w:spacing w:after="280" w:afterAutospacing="1"/>
      </w:pPr>
      <w:r>
        <w:br/>
      </w:r>
    </w:p>
    <w:p w:rsidR="00000000" w:rsidRDefault="007E537A">
      <w:pPr>
        <w:spacing w:after="280" w:afterAutospacing="1"/>
      </w:pPr>
      <w:r>
        <w:t>Организация работы по охране труда / работы повышенной опасности</w:t>
      </w:r>
    </w:p>
    <w:p w:rsidR="00000000" w:rsidRDefault="007E537A">
      <w:pPr>
        <w:spacing w:after="280" w:afterAutospacing="1"/>
      </w:pPr>
      <w:r>
        <w:rPr>
          <w:b/>
          <w:bCs/>
        </w:rPr>
        <w:t>Как организовать работы повышенной опасности</w:t>
      </w:r>
    </w:p>
    <w:p w:rsidR="00000000" w:rsidRDefault="007E537A">
      <w:pPr>
        <w:spacing w:after="280" w:afterAutospacing="1"/>
      </w:pPr>
      <w:r>
        <w:rPr>
          <w:b/>
          <w:bCs/>
        </w:rPr>
        <w:t>Светлана КУЗНЕЦОВА</w:t>
      </w:r>
      <w:r>
        <w:br/>
        <w:t>начальник отдела охраны труда, промышленной безопасности и охраны окружающей среды ООО «СПК-комплекта</w:t>
      </w:r>
      <w:r>
        <w:t xml:space="preserve">ция» </w:t>
      </w:r>
    </w:p>
    <w:p w:rsidR="00000000" w:rsidRDefault="007E537A">
      <w:pPr>
        <w:spacing w:after="280" w:afterAutospacing="1"/>
      </w:pPr>
      <w:r>
        <w:t>Работы повышенной опасности связаны с постоянным действием опасных производственных факторов, поэтому требуют дополнительных организационных и технических мероприятий для безопасности работников. Чтобы избежать травматизма, работодатель должен грамот</w:t>
      </w:r>
      <w:r>
        <w:t>но организовать процесс, разработать локальные документы и назначить ответственных за безопасное производство работ. В статье расскажем, как распределить обязанности между ответственными лицами и после каких мероприятий можно допустить бригаду к работе.</w:t>
      </w:r>
    </w:p>
    <w:p w:rsidR="00000000" w:rsidRDefault="007E537A">
      <w:pPr>
        <w:pStyle w:val="2"/>
        <w:spacing w:after="280" w:afterAutospacing="1"/>
      </w:pPr>
      <w:r>
        <w:t>Как составить перечень работ повышенной опасности</w:t>
      </w:r>
    </w:p>
    <w:p w:rsidR="00000000" w:rsidRDefault="007E537A">
      <w:pPr>
        <w:spacing w:after="280" w:afterAutospacing="1"/>
      </w:pPr>
      <w:r>
        <w:t>К работам повышенной опасности относят такие работы, перед началом которых работодатель должен выполнить обязательные организационные и технические мероприятия для безопасности работников. В том числе разр</w:t>
      </w:r>
      <w:r>
        <w:t xml:space="preserve">аботать локальные документы, которые будут регулировать проведение работ повышенной опасности. </w:t>
      </w:r>
    </w:p>
    <w:p w:rsidR="00000000" w:rsidRDefault="007E537A">
      <w:pPr>
        <w:spacing w:after="280" w:afterAutospacing="1"/>
      </w:pPr>
      <w:r>
        <w:t>Перед тем, как разработать положение или инструкцию о порядке проведения работ повышенной опасности в своей организации, изучите правила по охране труда для отд</w:t>
      </w:r>
      <w:r>
        <w:t>ельных видов работ и отраслевые правила. В правилах часто можно найти примерный перечень работ повышенной опасности, обязательные и рекомендательные требования с учетом вида деятельности (таблица 1). Также при организации работ повышенной опасности использ</w:t>
      </w:r>
      <w:r>
        <w:t>уют положение Минэкономразвития от 19.02.1998 № </w:t>
      </w:r>
      <w:r>
        <w:rPr>
          <w:rStyle w:val="Spanlink"/>
          <w:u w:val="single"/>
        </w:rPr>
        <w:t>ПОТ РО 14000-005-98</w:t>
      </w:r>
      <w:r>
        <w:t xml:space="preserve"> (далее — Положение), в </w:t>
      </w:r>
      <w:r>
        <w:rPr>
          <w:rStyle w:val="Spanlink"/>
          <w:u w:val="single"/>
        </w:rPr>
        <w:t>приложении 1</w:t>
      </w:r>
      <w:r>
        <w:t xml:space="preserve"> к Положению есть примерный перечень работ. Без изучения этих документов разработать хороший собственный локальный документ невозможно. </w:t>
      </w:r>
    </w:p>
    <w:p w:rsidR="00000000" w:rsidRDefault="007E537A">
      <w:pPr>
        <w:pStyle w:val="strong"/>
        <w:spacing w:after="280" w:afterAutospacing="1"/>
      </w:pPr>
      <w:r>
        <w:lastRenderedPageBreak/>
        <w:t>Таблица 1. Переч</w:t>
      </w:r>
      <w:r>
        <w:t>ни работ повышенной опасности в правилах по охране труда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33"/>
        <w:gridCol w:w="3997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htable-thead-th"/>
            </w:pPr>
            <w:r>
              <w:t>Направление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htable-thead-th"/>
            </w:pPr>
            <w:r>
              <w:t>Правила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>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rPr>
                <w:rStyle w:val="Spanlink"/>
                <w:u w:val="single"/>
              </w:rPr>
              <w:t>Пункт 20</w:t>
            </w:r>
            <w:r>
              <w:t xml:space="preserve"> ПОТ от 01.06.2015 № 336н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>Электросварочные и газосварочные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rPr>
                <w:rStyle w:val="Spanlink"/>
                <w:u w:val="single"/>
              </w:rPr>
              <w:t>Пункт 32</w:t>
            </w:r>
            <w:r>
              <w:t xml:space="preserve"> ПОТ от 23.12.2014 № 1101н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>Производство цемента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rPr>
                <w:rStyle w:val="Spanlink"/>
                <w:u w:val="single"/>
              </w:rPr>
              <w:t>Пункт 47</w:t>
            </w:r>
            <w:r>
              <w:t xml:space="preserve"> ПОТ от 1</w:t>
            </w:r>
            <w:r>
              <w:t xml:space="preserve">5.10.2015 № 722н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>Производство пищевой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rPr>
                <w:rStyle w:val="Spanlink"/>
                <w:u w:val="single"/>
              </w:rPr>
              <w:t>Пункт 23</w:t>
            </w:r>
            <w:r>
              <w:t xml:space="preserve"> ПОТ от 17.08.2015 № 550н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rPr>
                <w:rStyle w:val="Spanlink"/>
                <w:u w:val="single"/>
              </w:rPr>
              <w:t>Пункт 17</w:t>
            </w:r>
            <w:r>
              <w:t xml:space="preserve"> ПОТ от 07.07.2015 № 439н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>Работы с технологическим оборудованием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rPr>
                <w:rStyle w:val="Spanlink"/>
                <w:u w:val="single"/>
              </w:rPr>
              <w:t>Пункт 59</w:t>
            </w:r>
            <w:r>
              <w:t xml:space="preserve"> ПОТ от 23.06.2016 № 310н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>Работа с нефтепродуктами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rPr>
                <w:rStyle w:val="Spanlink"/>
                <w:u w:val="single"/>
              </w:rPr>
              <w:t>Пун</w:t>
            </w:r>
            <w:r>
              <w:rPr>
                <w:rStyle w:val="Spanlink"/>
                <w:u w:val="single"/>
              </w:rPr>
              <w:t>кт 27</w:t>
            </w:r>
            <w:r>
              <w:t xml:space="preserve"> ПОТ от 16.11.2015 № 873н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>Сельское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rPr>
                <w:rStyle w:val="Spanlink"/>
                <w:u w:val="single"/>
              </w:rPr>
              <w:t>Пункт 23</w:t>
            </w:r>
            <w:r>
              <w:t xml:space="preserve"> ПОТ от 25.02.2016 № 76н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>Работы на флоте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rPr>
                <w:rStyle w:val="Spanlink"/>
                <w:u w:val="single"/>
              </w:rPr>
              <w:t>Пункт 18</w:t>
            </w:r>
            <w:r>
              <w:t xml:space="preserve"> ПОТ от 05.06.2014 № 367н </w:t>
            </w:r>
          </w:p>
        </w:tc>
      </w:tr>
    </w:tbl>
    <w:p w:rsidR="00000000" w:rsidRDefault="007E537A"/>
    <w:p w:rsidR="00000000" w:rsidRDefault="007E537A">
      <w:pPr>
        <w:spacing w:after="280" w:afterAutospacing="1"/>
      </w:pPr>
      <w:r>
        <w:t>На основе нормативных актов и с учетом специфики организации разрабатывают свой перечень работ повышенной опасности.</w:t>
      </w:r>
      <w:r>
        <w:t xml:space="preserve"> Его утверждает главный инженер, согласовывает уполномоченный работниками представительный орган. </w:t>
      </w:r>
    </w:p>
    <w:p w:rsidR="00000000" w:rsidRDefault="007E537A">
      <w:pPr>
        <w:pStyle w:val="2"/>
        <w:spacing w:after="280" w:afterAutospacing="1"/>
      </w:pPr>
      <w:r>
        <w:t>Какие работы выполняют по наряду-допуску</w:t>
      </w:r>
    </w:p>
    <w:p w:rsidR="00000000" w:rsidRDefault="007E537A">
      <w:pPr>
        <w:spacing w:after="280" w:afterAutospacing="1"/>
      </w:pPr>
      <w:r>
        <w:t>Работы с повышенной опасностью в зонах постоянного действия опасных производственных факторов, возникновение которых</w:t>
      </w:r>
      <w:r>
        <w:t xml:space="preserve"> не связано с характером выполняемых работ, проводят по наряду-допуску. Наряд-допуск — это задание на производство работы, которое оформляют в установленной форме. В нем определяют содержание и место работы, время ее начала и окончания. Устанавливают необх</w:t>
      </w:r>
      <w:r>
        <w:t xml:space="preserve">одимые мероприятия, которые обеспечат безопасные условия труда для исполнителей работ. Назначают ответственных за безопасное выполнение работы и определяют состав бригады. </w:t>
      </w:r>
    </w:p>
    <w:p w:rsidR="00000000" w:rsidRDefault="007E537A">
      <w:pPr>
        <w:spacing w:after="280" w:afterAutospacing="1"/>
      </w:pPr>
      <w:r>
        <w:t>У наряда-допуска нет единой обязательной формы. Форму можно найти в правилах по охр</w:t>
      </w:r>
      <w:r>
        <w:t>ане труда для конкретного вида работ, если такой нет, воспользуйтесь стандартной (</w:t>
      </w:r>
      <w:r>
        <w:rPr>
          <w:rStyle w:val="Spanlink"/>
          <w:u w:val="single"/>
        </w:rPr>
        <w:t>приложение 2</w:t>
      </w:r>
      <w:r>
        <w:t xml:space="preserve"> к Положению). Если форма наряда-допуска рекомендованная, а не обязательная, в нее можно вносить необходимые дополнения. Поэтому форма может быть разной не только</w:t>
      </w:r>
      <w:r>
        <w:t xml:space="preserve"> в зависимости от определенной отрасли или области применения, но и на одном крупном предприятии различные цеха или подразделения могут по-разному оформлять этот документ. К тому же наряд-допуск может включать дополнительные пункты, предусмотренные различн</w:t>
      </w:r>
      <w:r>
        <w:t xml:space="preserve">ыми внутренними инструкциями и приказами. При необходимости к наряду-допуску прилагают эскизы защитных устройств </w:t>
      </w:r>
      <w:r>
        <w:lastRenderedPageBreak/>
        <w:t xml:space="preserve">и приспособлений, схемы расстановки постов оцепления, установки предупредительных знаков и т. д. </w:t>
      </w:r>
    </w:p>
    <w:p w:rsidR="00000000" w:rsidRDefault="007E537A">
      <w:pPr>
        <w:spacing w:after="280" w:afterAutospacing="1"/>
      </w:pPr>
      <w:r>
        <w:t xml:space="preserve">В исключительных случаях работы с повышенной </w:t>
      </w:r>
      <w:r>
        <w:t>опасностью можно начать без оформления наряда-допуска. К таким случаям относят предупреждение аварии, устранение угрозы жизни работникам, ликвидацию аварий и стихийных бедствий в их начальных стадиях. При этом работы проводят под непосредственным руководст</w:t>
      </w:r>
      <w:r>
        <w:t xml:space="preserve">вом ответственного должностного лица с соблюдением комплекса мер по обеспечению безопасности работников. Если такие работы принимают затяжной характер, то в обязательном порядке необходимо оформить наряд-допуск. </w:t>
      </w:r>
    </w:p>
    <w:p w:rsidR="00000000" w:rsidRDefault="007E537A">
      <w:pPr>
        <w:pStyle w:val="2"/>
        <w:spacing w:after="280" w:afterAutospacing="1"/>
      </w:pPr>
      <w:r>
        <w:t>Кого можно допустить к работе</w:t>
      </w:r>
    </w:p>
    <w:p w:rsidR="00000000" w:rsidRDefault="007E537A">
      <w:pPr>
        <w:spacing w:after="280" w:afterAutospacing="1"/>
      </w:pPr>
      <w:r>
        <w:t>К работам с п</w:t>
      </w:r>
      <w:r>
        <w:t xml:space="preserve">овышенной опасностью допускают лиц не моложе 18 лет, которые прошли медосвидетельствование. До начала работы сотрудники проходят обучение по охране труда и оказанию первой помощи пострадавшим на производстве со стажировкой на рабочем месте. </w:t>
      </w:r>
    </w:p>
    <w:p w:rsidR="00000000" w:rsidRDefault="007E537A">
      <w:pPr>
        <w:spacing w:after="280" w:afterAutospacing="1"/>
      </w:pPr>
      <w:r>
        <w:t>Обучение и ста</w:t>
      </w:r>
      <w:r>
        <w:t>жировку проводят по программам, утвержденным работодателем. При этом программы согласовывают с профсоюзом или иным уполномоченным работниками представительным органом. Обучение завершают проверкой теоретических знаний и практических навыков. Прошедшим пров</w:t>
      </w:r>
      <w:r>
        <w:t xml:space="preserve">ерку знаний выдают удостоверение. </w:t>
      </w:r>
    </w:p>
    <w:p w:rsidR="00000000" w:rsidRDefault="007E537A">
      <w:pPr>
        <w:spacing w:after="280" w:afterAutospacing="1"/>
      </w:pPr>
      <w:r>
        <w:t>К самостоятельному выполнению работ с повышенной опасностью работника допускает непосредственный руководитель работ только после того, как работник прошел стажировку на рабочем месте и проверку знаний охраны труда в комис</w:t>
      </w:r>
      <w:r>
        <w:t xml:space="preserve">сии работодателя. </w:t>
      </w:r>
    </w:p>
    <w:p w:rsidR="00000000" w:rsidRDefault="007E537A">
      <w:pPr>
        <w:spacing w:after="280" w:afterAutospacing="1"/>
      </w:pPr>
      <w:r>
        <w:t>Для выполнения работ повышенной опасности исполнители должны иметь квалификацию, соответствующую характеру работ. Уровень квалификации подтверждают документом. Лица, ответственные за безопасное проведение работ повышенной опасности, долж</w:t>
      </w:r>
      <w:r>
        <w:t xml:space="preserve">ны назначать исполнителей с подходящей квалификацией. </w:t>
      </w:r>
    </w:p>
    <w:p w:rsidR="00000000" w:rsidRDefault="007E537A">
      <w:pPr>
        <w:pStyle w:val="2"/>
        <w:spacing w:after="280" w:afterAutospacing="1"/>
      </w:pPr>
      <w:r>
        <w:lastRenderedPageBreak/>
        <w:t>Как назначить ответственных за выполнение работ с повышенной опасностью</w:t>
      </w:r>
    </w:p>
    <w:p w:rsidR="00000000" w:rsidRDefault="007E537A">
      <w:pPr>
        <w:spacing w:after="280" w:afterAutospacing="1"/>
      </w:pPr>
      <w:r>
        <w:t>За безопасность при выполнении работ по нарядам-допускам отвечают:</w:t>
      </w:r>
    </w:p>
    <w:p w:rsidR="00000000" w:rsidRDefault="007E537A">
      <w:pPr>
        <w:pStyle w:val="Ul"/>
        <w:numPr>
          <w:ilvl w:val="0"/>
          <w:numId w:val="1"/>
        </w:numPr>
      </w:pPr>
      <w:r>
        <w:t>лицо, выдающее наряд-допуск;</w:t>
      </w:r>
    </w:p>
    <w:p w:rsidR="00000000" w:rsidRDefault="007E537A">
      <w:pPr>
        <w:pStyle w:val="Ul"/>
        <w:numPr>
          <w:ilvl w:val="0"/>
          <w:numId w:val="1"/>
        </w:numPr>
      </w:pPr>
      <w:r>
        <w:t>ответственный руководитель работ;</w:t>
      </w:r>
    </w:p>
    <w:p w:rsidR="00000000" w:rsidRDefault="007E537A">
      <w:pPr>
        <w:pStyle w:val="Ul"/>
        <w:numPr>
          <w:ilvl w:val="0"/>
          <w:numId w:val="1"/>
        </w:numPr>
      </w:pPr>
      <w:r>
        <w:t>производитель работ, наблюдающий;</w:t>
      </w:r>
    </w:p>
    <w:p w:rsidR="00000000" w:rsidRDefault="007E537A">
      <w:pPr>
        <w:pStyle w:val="Ul"/>
        <w:numPr>
          <w:ilvl w:val="0"/>
          <w:numId w:val="1"/>
        </w:numPr>
      </w:pPr>
      <w:r>
        <w:t>допускающий;</w:t>
      </w:r>
    </w:p>
    <w:p w:rsidR="00000000" w:rsidRDefault="007E537A">
      <w:pPr>
        <w:pStyle w:val="Ul"/>
        <w:numPr>
          <w:ilvl w:val="0"/>
          <w:numId w:val="1"/>
        </w:numPr>
        <w:spacing w:after="280" w:afterAutospacing="1"/>
      </w:pPr>
      <w:r>
        <w:t>исполнители работ (члены бригады).</w:t>
      </w:r>
    </w:p>
    <w:p w:rsidR="00000000" w:rsidRDefault="007E537A">
      <w:pPr>
        <w:spacing w:after="280" w:afterAutospacing="1"/>
      </w:pPr>
      <w:r>
        <w:t>Перечень должностных лиц, которые могут выдавать наряды-допуски на выполнение работ с повышенной опасностью, и лиц, которые могут быть ответственными руководителями и произв</w:t>
      </w:r>
      <w:r>
        <w:t>одителями работ, утверждает руководитель организации по представлению главного инженера. При этом лица с правом выдачи нарядов-допусков, а также ответственные руководители, исполнители работ и допускающие проходят обучение и проверку знаний по охране труда</w:t>
      </w:r>
      <w:r>
        <w:t xml:space="preserve"> в обучающих организациях (</w:t>
      </w:r>
      <w:r>
        <w:rPr>
          <w:rStyle w:val="Spanlink"/>
          <w:u w:val="single"/>
        </w:rPr>
        <w:t>п. 2.3.2</w:t>
      </w:r>
      <w:r>
        <w:t xml:space="preserve"> Порядка обучения по охране труда и проверки знаний требований охраны труда работников организаций, утв. постановлением Минтруда и Минобразования от 13.01.2003 № 1/29). При работах с объектами, подконтрольными органам Рос</w:t>
      </w:r>
      <w:r>
        <w:t xml:space="preserve">технадзора, они также проходят подготовку согласно </w:t>
      </w:r>
      <w:r>
        <w:rPr>
          <w:rStyle w:val="Spanlink"/>
          <w:u w:val="single"/>
        </w:rPr>
        <w:t>приказу Ростехнадзора от 29.01.2007 № 37</w:t>
      </w:r>
      <w:r>
        <w:t xml:space="preserve"> «О порядке подготовки и аттестации работников организаций, поднадзорных Федеральной службе по экологическому, технологическому и атомному надзору». </w:t>
      </w:r>
    </w:p>
    <w:p w:rsidR="00000000" w:rsidRDefault="007E537A">
      <w:pPr>
        <w:spacing w:after="280" w:afterAutospacing="1"/>
      </w:pPr>
      <w:r>
        <w:t>На работы локал</w:t>
      </w:r>
      <w:r>
        <w:t xml:space="preserve">ьного характера с повышенной опасностью наряды-допуски выдают руководители подразделений и их заместители. При необходимости выдающий наряд-допуск может совмещать обязанности ответственного руководителя работ. </w:t>
      </w:r>
    </w:p>
    <w:p w:rsidR="00000000" w:rsidRDefault="007E537A">
      <w:pPr>
        <w:spacing w:after="280" w:afterAutospacing="1"/>
      </w:pPr>
      <w:r>
        <w:t>Ответственного руководителя и производителя р</w:t>
      </w:r>
      <w:r>
        <w:t>абот назначает выдающий наряд-допуск. При этом руководитель работ может совмещать обязанности допускающего. Производитель работ также может совмещать обязанности допускающего по поручению выдающего наряд-допуск. Если нужно выполнять сложные работы и числен</w:t>
      </w:r>
      <w:r>
        <w:t xml:space="preserve">ность бригады больше двух человек, производитель работ может назначить наблюдающим отдельного работника. В этом случае наблюдающего выбирают из числа наиболее квалифицированных исполнителей работ, например, бригадира. Наблюдающий ведет постоянный контроль </w:t>
      </w:r>
      <w:r>
        <w:t xml:space="preserve">и не участвует в проведении работ. </w:t>
      </w:r>
    </w:p>
    <w:p w:rsidR="00000000" w:rsidRDefault="007E537A">
      <w:pPr>
        <w:spacing w:after="280" w:afterAutospacing="1"/>
      </w:pPr>
      <w:r>
        <w:lastRenderedPageBreak/>
        <w:t>Перед началом работ повышенной опасности главные задачи ответственных лиц:</w:t>
      </w:r>
    </w:p>
    <w:p w:rsidR="00000000" w:rsidRDefault="007E537A">
      <w:pPr>
        <w:pStyle w:val="Ul"/>
        <w:numPr>
          <w:ilvl w:val="0"/>
          <w:numId w:val="2"/>
        </w:numPr>
      </w:pPr>
      <w:r>
        <w:t>провести оценку возможных рисков, возникающих при выполнении работ повышенной опасности;</w:t>
      </w:r>
    </w:p>
    <w:p w:rsidR="00000000" w:rsidRDefault="007E537A">
      <w:pPr>
        <w:pStyle w:val="Ul"/>
        <w:numPr>
          <w:ilvl w:val="0"/>
          <w:numId w:val="2"/>
        </w:numPr>
      </w:pPr>
      <w:r>
        <w:t>предусмотреть комплекс мероприятий по снижению и устране</w:t>
      </w:r>
      <w:r>
        <w:t>нию выявленных рисков;</w:t>
      </w:r>
    </w:p>
    <w:p w:rsidR="00000000" w:rsidRDefault="007E537A">
      <w:pPr>
        <w:pStyle w:val="Ul"/>
        <w:numPr>
          <w:ilvl w:val="0"/>
          <w:numId w:val="2"/>
        </w:numPr>
        <w:spacing w:after="280" w:afterAutospacing="1"/>
      </w:pPr>
      <w:r>
        <w:t>организовать безопасное проведение работ.</w:t>
      </w:r>
    </w:p>
    <w:p w:rsidR="00000000" w:rsidRDefault="007E537A">
      <w:pPr>
        <w:spacing w:after="280" w:afterAutospacing="1"/>
      </w:pPr>
      <w:r>
        <w:t xml:space="preserve">Во время работ ответственные лица должны обеспечить постоянный надзор за бригадой, контролировать соблюдение требований безопасности, правильность использования СИЗ. </w:t>
      </w:r>
    </w:p>
    <w:p w:rsidR="00000000" w:rsidRDefault="007E537A">
      <w:pPr>
        <w:pStyle w:val="2"/>
        <w:spacing w:after="280" w:afterAutospacing="1"/>
      </w:pPr>
      <w:r>
        <w:t>Кто допускает работников</w:t>
      </w:r>
      <w:r>
        <w:t xml:space="preserve"> и останавливает работы</w:t>
      </w:r>
    </w:p>
    <w:p w:rsidR="00000000" w:rsidRDefault="007E537A"/>
    <w:p w:rsidR="00000000" w:rsidRDefault="007E537A">
      <w:pPr>
        <w:spacing w:after="280" w:afterAutospacing="1"/>
      </w:pPr>
      <w:r>
        <w:t>До начала работ повышенной опасности оформляют наряд-допуск. Его выдачу регистрируют в специальном журнале. Наряд-допуск можно выдавать на одну сме</w:t>
      </w:r>
      <w:r>
        <w:t>ну или на весь период выполнения непрерывных работ. В этом случае наряд продлевают для каждой смены (</w:t>
      </w:r>
      <w:r>
        <w:rPr>
          <w:rStyle w:val="Spanlink"/>
          <w:u w:val="single"/>
        </w:rPr>
        <w:t>п. 3.3</w:t>
      </w:r>
      <w:r>
        <w:t xml:space="preserve"> Положения). Правила по охране труда для отдельных видов работ могут устанавливать другие сроки. Например, наряд-допуск на производство работ на высо</w:t>
      </w:r>
      <w:r>
        <w:t>те выдают на срок не более 15 календарных дней со дня начала работы. При этом наряд-допуск можно продлить один раз на срок не более 15 календарных дней со дня его продления (</w:t>
      </w:r>
      <w:r>
        <w:rPr>
          <w:rStyle w:val="Spanlink"/>
          <w:u w:val="single"/>
        </w:rPr>
        <w:t>п. 39</w:t>
      </w:r>
      <w:r>
        <w:t xml:space="preserve"> Правил по охране труда при работе на высоте, утв. приказом Минтруда от 28.03</w:t>
      </w:r>
      <w:r>
        <w:t xml:space="preserve">.2014 № 155н). </w:t>
      </w:r>
    </w:p>
    <w:p w:rsidR="00000000" w:rsidRDefault="007E537A">
      <w:pPr>
        <w:spacing w:after="280" w:afterAutospacing="1"/>
      </w:pPr>
      <w:r>
        <w:t>Наряд-допуск выписывают в двух экземплярах без исправлений. Если на одном объекте выполняют работы две и более бригады, наряд-допуск выдают ответственному производителю работ для каждой бригады за подписью одного лица. Сроки хранения нарядо</w:t>
      </w:r>
      <w:r>
        <w:t xml:space="preserve">в-допусков смотрите в таблице 2. </w:t>
      </w:r>
    </w:p>
    <w:p w:rsidR="00000000" w:rsidRDefault="007E537A">
      <w:pPr>
        <w:pStyle w:val="strong"/>
        <w:spacing w:after="280" w:afterAutospacing="1"/>
      </w:pPr>
      <w:r>
        <w:t>Таблица 2. Срок хранения наряда-допуска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56"/>
        <w:gridCol w:w="2637"/>
        <w:gridCol w:w="3337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htable-thead-th"/>
            </w:pPr>
            <w:r>
              <w:t>Вид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htable-thead-th"/>
            </w:pPr>
            <w:r>
              <w:t>Срок хранения наряда-допуска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htable-thead-th"/>
            </w:pPr>
            <w:r>
              <w:t>Основание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>Газоопасные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>Не меньше одного года с момента закрытия.</w:t>
            </w:r>
            <w:r>
              <w:br/>
              <w:t>Постоянно хранят в исполнительно-</w:t>
            </w:r>
            <w:r>
              <w:lastRenderedPageBreak/>
              <w:t>технической документации на газопровод</w:t>
            </w:r>
            <w:r>
              <w:t xml:space="preserve">: наряды-допуски на первичный пуск газа, врезку в действующий газопровод, отключение газопроводов с заваркой наглухо в местах ответвления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rPr>
                <w:rStyle w:val="Spanlink"/>
                <w:u w:val="single"/>
              </w:rPr>
              <w:lastRenderedPageBreak/>
              <w:t>Пункт 151</w:t>
            </w:r>
            <w:r>
              <w:t xml:space="preserve"> ФНП в области промышленной безопасности «Правила безопасности сетей газораспределения </w:t>
            </w:r>
            <w:r>
              <w:lastRenderedPageBreak/>
              <w:t>и газопотребления», у</w:t>
            </w:r>
            <w:r>
              <w:t xml:space="preserve">твержденных приказом Ростехнадзора от 15.11.2013 № 542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lastRenderedPageBreak/>
              <w:t>Огневые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>Календарный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rPr>
                <w:rStyle w:val="Spanlink"/>
                <w:u w:val="single"/>
              </w:rPr>
              <w:t>Пункт 13</w:t>
            </w:r>
            <w:r>
              <w:t xml:space="preserve"> ФНП в области промышленной безопасности «Инструкция по ведению огневых работ в горных выработках, надшахтных зданиях шахт и углеобогатительных фабриках», утвер</w:t>
            </w:r>
            <w:r>
              <w:t xml:space="preserve">жденных приказом Ростехнадзора от 14.10.2014 № 463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>Работы на 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>30 суток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rPr>
                <w:rStyle w:val="Spanlink"/>
                <w:u w:val="single"/>
              </w:rPr>
              <w:t>Пункт 40</w:t>
            </w:r>
            <w:r>
              <w:t xml:space="preserve"> Правил по охране труда при работе на высоте, утвержденных приказом Минтруда от 28.03.2014 № 155н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>Земляные работы в зоне расположения газо- и конденсатопроводов, техно</w:t>
            </w:r>
            <w:r>
              <w:t>логических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>1 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rPr>
                <w:rStyle w:val="Spanlink"/>
                <w:u w:val="single"/>
              </w:rPr>
              <w:t>Пункт 9</w:t>
            </w:r>
            <w:r>
              <w:t xml:space="preserve"> ФНП в области промышленной безопасности «Положение о применении нарядов-допусков при выполнении работ повышенной опасности на опасных производственных объектах горно-металлургической промышленности», утвержденных пр</w:t>
            </w:r>
            <w:r>
              <w:t xml:space="preserve">иказом Ростехнадзора от 18.01.2012 № 44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>Работы по обслуживанию электроустановок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>30 суток — для нарядов, по которым работы полностью закончены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rPr>
                <w:rStyle w:val="Spanlink"/>
                <w:u w:val="single"/>
              </w:rPr>
              <w:t>Пункт 6.5</w:t>
            </w:r>
            <w:r>
              <w:t xml:space="preserve"> Правил по охране труда при эксплуатации электроустановок, утвержденных приказом Минтруда от 24.07.2013</w:t>
            </w:r>
            <w:r>
              <w:t xml:space="preserve"> № 328н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 xml:space="preserve">Ремонтные работы при </w:t>
            </w:r>
            <w:r>
              <w:lastRenderedPageBreak/>
              <w:t>эксплуатации тепловых энергоустановок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lastRenderedPageBreak/>
              <w:t xml:space="preserve">30 суток — для нарядов, </w:t>
            </w:r>
            <w:r>
              <w:lastRenderedPageBreak/>
              <w:t>по которым работы полностью закончены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rPr>
                <w:rStyle w:val="Spanlink"/>
                <w:u w:val="single"/>
              </w:rPr>
              <w:lastRenderedPageBreak/>
              <w:t>Пункт 6.5</w:t>
            </w:r>
            <w:r>
              <w:t xml:space="preserve"> Правил по охране </w:t>
            </w:r>
            <w:r>
              <w:lastRenderedPageBreak/>
              <w:t xml:space="preserve">труда при эксплуатации электроустановок, утвержденных приказом Минтруда от 24.07.2013 № 328н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lastRenderedPageBreak/>
              <w:t>Обс</w:t>
            </w:r>
            <w:r>
              <w:t>луживание сосудов и трубопроводов, работающих под давлением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t>Не меньше одного года с момента закрытия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7E537A">
            <w:pPr>
              <w:pStyle w:val="Tdtable-td"/>
            </w:pPr>
            <w:r>
              <w:rPr>
                <w:rStyle w:val="Spanlink"/>
                <w:u w:val="single"/>
              </w:rPr>
              <w:t>Пункт 294</w:t>
            </w:r>
            <w:r>
              <w:t xml:space="preserve"> ФНП в области промышленной безопасности «Правила безопасности для объектов, использующих сжиженные углеводородные газы», утвержденных приказом Ро</w:t>
            </w:r>
            <w:r>
              <w:t xml:space="preserve">стехнадзора от 21.11.2013 № 558 </w:t>
            </w:r>
          </w:p>
        </w:tc>
      </w:tr>
    </w:tbl>
    <w:p w:rsidR="00000000" w:rsidRDefault="007E537A"/>
    <w:p w:rsidR="00000000" w:rsidRDefault="007E537A">
      <w:pPr>
        <w:spacing w:after="280" w:afterAutospacing="1"/>
      </w:pPr>
      <w:r>
        <w:t>Перед началом работ по наряду-допуску проводят целевой инструктаж. В инструктаж входят указания по безопасному выполнению конкретной работы для каждой категории работников, определенных нарядом-допуском. Выдающий наряд-до</w:t>
      </w:r>
      <w:r>
        <w:t>пуск проводит целевой инструктаж ответственному руководителю работ. Ответственный руководитель работ — производителю работ и допускающему. Производитель работ проводит целевой инструктаж исполнителям работ. После целевого инструктажа работники расписываютс</w:t>
      </w:r>
      <w:r>
        <w:t xml:space="preserve">я в наряде-допуске и журнале регистрации инструктажей. </w:t>
      </w:r>
    </w:p>
    <w:p w:rsidR="00000000" w:rsidRDefault="007E537A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7E537A">
      <w:pPr>
        <w:pStyle w:val="H3remark-h3"/>
        <w:spacing w:after="280" w:afterAutospacing="1"/>
      </w:pPr>
      <w:r>
        <w:t>Обратите внимание</w:t>
      </w:r>
    </w:p>
    <w:p w:rsidR="00000000" w:rsidRDefault="007E537A">
      <w:pPr>
        <w:pStyle w:val="remark-p"/>
        <w:spacing w:after="280" w:afterAutospacing="1"/>
      </w:pPr>
      <w:r>
        <w:t xml:space="preserve">Если во время работ по наряду-допуску произошли авария или несчастный случай, наряд-допуск приобщают к материалам расследования </w:t>
      </w:r>
    </w:p>
    <w:p w:rsidR="00000000" w:rsidRDefault="007E537A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7E537A"/>
    <w:p w:rsidR="00000000" w:rsidRDefault="007E537A">
      <w:pPr>
        <w:spacing w:after="280" w:afterAutospacing="1"/>
      </w:pPr>
      <w:r>
        <w:t>Перед допуском бригады к работам с повышенной оп</w:t>
      </w:r>
      <w:r>
        <w:t>асностью производитель работ совместно с допускающим проверяет, выполнены ли предусмотренные нарядом-допуском мероприятия по подготовке места работы (</w:t>
      </w:r>
      <w:r>
        <w:rPr>
          <w:rStyle w:val="Spanlink"/>
          <w:u w:val="single"/>
        </w:rPr>
        <w:t>п. 4.1</w:t>
      </w:r>
      <w:r>
        <w:t xml:space="preserve"> Положения). После проверки производитель работ разрешает работы, для чего ставит в наряде-допуске с</w:t>
      </w:r>
      <w:r>
        <w:t xml:space="preserve">вою подпись. Если в организации проводят совмещенные работы, подписи ставят ответственный руководитель работ, производитель работ и руководитель подразделения, в котором выполняют совмещенные работы. </w:t>
      </w:r>
    </w:p>
    <w:p w:rsidR="00000000" w:rsidRDefault="007E537A">
      <w:pPr>
        <w:spacing w:after="280" w:afterAutospacing="1"/>
      </w:pPr>
      <w:r>
        <w:t>Допускающий по наряду-допуску проверяет фамилии ответст</w:t>
      </w:r>
      <w:r>
        <w:t xml:space="preserve">венного руководителя и ответственного производителя работ, членов бригады и содержание порученной работы. Информирует членов бригады о мерах безопасности во время работ, учитывает пригодность каждого исполнителя к работе, проверяет у членов бригады знание </w:t>
      </w:r>
      <w:r>
        <w:t xml:space="preserve">требований охраны труда для </w:t>
      </w:r>
      <w:r>
        <w:lastRenderedPageBreak/>
        <w:t xml:space="preserve">конкретного вида работ. Показывает места отключения объекта от электрических, газовых и других источников питания, выделенную зону монтажа, ремонта и т. д. </w:t>
      </w:r>
    </w:p>
    <w:p w:rsidR="00000000" w:rsidRDefault="007E537A">
      <w:pPr>
        <w:spacing w:after="280" w:afterAutospacing="1"/>
      </w:pPr>
      <w:r>
        <w:t>Производитель работ получает от допускающего разрешение на начало работ</w:t>
      </w:r>
      <w:r>
        <w:t xml:space="preserve">. Для этого допускающий заносит разрешающую запись в наряд-допуск. Если допускающий не назначен, производитель работ сам вносит запись в наряд-допуск. </w:t>
      </w:r>
    </w:p>
    <w:p w:rsidR="00000000" w:rsidRDefault="007E537A">
      <w:pPr>
        <w:spacing w:after="280" w:afterAutospacing="1"/>
      </w:pPr>
      <w:r>
        <w:t>После допуска бригады к работе за безопасным ведением работ следит производитель работ. Если в течение с</w:t>
      </w:r>
      <w:r>
        <w:t>мены бригада делает перерывы, то работы возобновляют после разрешения производителя работ. Если перерывы в работе больше одной смены, производитель работ продлевает наряд-допуск. При этом перед допуском он вновь проверяет выполнение мероприятий, которые об</w:t>
      </w:r>
      <w:r>
        <w:t xml:space="preserve">еспечивают безопасность исполнителей, и вносит разрешающую запись в наряд-допуск или получает разрешение на возобновление работ от допускающего. </w:t>
      </w:r>
    </w:p>
    <w:p w:rsidR="00697D3D" w:rsidRDefault="007E537A" w:rsidP="00697D3D">
      <w:pPr>
        <w:spacing w:after="280" w:afterAutospacing="1"/>
      </w:pPr>
      <w:r>
        <w:t>Производитель работ самостоятельно либо по указанию допускающего или руководителя работ приостанавливает работ</w:t>
      </w:r>
      <w:r>
        <w:t>ы, если возникает угроза жизни и здоровью исполнителей. Возобновить работы он может с разрешения допускающего или руководителя работ или после того, как лично проверит, выполнены ли мероприятия, которые обеспечивают безопасные условия труда, и внесет разре</w:t>
      </w:r>
      <w:r>
        <w:t xml:space="preserve">шающую запись в наряд-допуск. </w:t>
      </w:r>
    </w:p>
    <w:p w:rsidR="00697D3D" w:rsidRDefault="00697D3D" w:rsidP="00697D3D">
      <w:pPr>
        <w:spacing w:after="280" w:afterAutospacing="1"/>
      </w:pPr>
    </w:p>
    <w:p w:rsidR="00000000" w:rsidRPr="00697D3D" w:rsidRDefault="007E537A" w:rsidP="00697D3D">
      <w:pPr>
        <w:spacing w:after="280" w:afterAutospacing="1"/>
        <w:rPr>
          <w:b/>
        </w:rPr>
      </w:pPr>
      <w:r w:rsidRPr="00697D3D">
        <w:rPr>
          <w:b/>
        </w:rPr>
        <w:t xml:space="preserve">Распределение обязанностей между ответственными лицами </w:t>
      </w:r>
    </w:p>
    <w:p w:rsidR="007E537A" w:rsidRDefault="00697D3D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4663440" cy="8229600"/>
            <wp:effectExtent l="1905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537A">
        <w:t xml:space="preserve">  </w:t>
      </w:r>
    </w:p>
    <w:sectPr w:rsidR="007E53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697D3D"/>
    <w:rsid w:val="007E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cp:lastPrinted>1601-01-01T00:00:00Z</cp:lastPrinted>
  <dcterms:created xsi:type="dcterms:W3CDTF">2018-07-02T06:20:00Z</dcterms:created>
  <dcterms:modified xsi:type="dcterms:W3CDTF">2018-07-02T06:20:00Z</dcterms:modified>
</cp:coreProperties>
</file>