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93EBC">
      <w:pPr>
        <w:pStyle w:val="electron-p"/>
        <w:spacing w:after="280" w:afterAutospacing="1"/>
      </w:pPr>
      <w:r>
        <w:t>Электронный журнал</w:t>
      </w:r>
    </w:p>
    <w:p w:rsidR="00000000" w:rsidRDefault="00FA6280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93EBC">
      <w:pPr>
        <w:spacing w:after="280" w:afterAutospacing="1"/>
      </w:pPr>
      <w:r>
        <w:t>Несчастные случаи и профзаболевания / судебная практика</w:t>
      </w:r>
    </w:p>
    <w:p w:rsidR="00000000" w:rsidRDefault="00793EBC">
      <w:pPr>
        <w:spacing w:after="280" w:afterAutospacing="1"/>
      </w:pPr>
      <w:r>
        <w:rPr>
          <w:b/>
          <w:bCs/>
        </w:rPr>
        <w:t>Смертельный несчастный случай: почему ГИТ обвинила не только подрядчика, но и заказчика</w:t>
      </w:r>
    </w:p>
    <w:p w:rsidR="00000000" w:rsidRDefault="00793EBC">
      <w:pPr>
        <w:spacing w:after="280" w:afterAutospacing="1"/>
      </w:pPr>
      <w:r>
        <w:rPr>
          <w:b/>
          <w:bCs/>
        </w:rPr>
        <w:t>Андрей КРИНИЦЫН</w:t>
      </w:r>
      <w:r>
        <w:br/>
        <w:t>главный государственный инспектор по правовым вопросам в Республике Бу</w:t>
      </w:r>
      <w:r>
        <w:t xml:space="preserve">рятия </w:t>
      </w:r>
    </w:p>
    <w:p w:rsidR="00000000" w:rsidRDefault="00793EBC">
      <w:pPr>
        <w:spacing w:after="280" w:afterAutospacing="1"/>
      </w:pPr>
      <w:r>
        <w:t>На стройке погиб работник. Виновным в его смерти ГИТ признала не только подрядчика, который должен был обеспечить безопасные условия труда. Часть ответственности за гибель работника подрядной организации возложили на заказчика. Инспектор ГИТ доказал</w:t>
      </w:r>
      <w:r>
        <w:t>, что заказчик мог бы предотвратить несчастный случай, если бы выполнил свою часть обязанностей и грамотно организовал производственные работы на строительном объекте. Генеральный заказчик не захотел портить свою репутацию и согласился добровольно выплатит</w:t>
      </w:r>
      <w:r>
        <w:t>ь матери погибшего денежную компенсацию.</w:t>
      </w:r>
    </w:p>
    <w:p w:rsidR="00000000" w:rsidRDefault="00793EBC">
      <w:pPr>
        <w:pStyle w:val="2"/>
        <w:spacing w:after="280" w:afterAutospacing="1"/>
      </w:pPr>
      <w:r>
        <w:t>Что произошло с пострадавшим</w:t>
      </w:r>
    </w:p>
    <w:p w:rsidR="00000000" w:rsidRDefault="00793EBC">
      <w:pPr>
        <w:spacing w:after="280" w:afterAutospacing="1"/>
      </w:pPr>
      <w:r>
        <w:t>Сварщик ручной сварки Петренко</w:t>
      </w:r>
      <w:r>
        <w:rPr>
          <w:rStyle w:val="Spanlink"/>
          <w:u w:val="single"/>
        </w:rPr>
        <w:t>*</w:t>
      </w:r>
      <w:r>
        <w:t xml:space="preserve"> работал по трудовому договору у индивидуального предпринимателя Свиридова. В 2015 году предприниматель заключил договор с директором ООО «Альтаир» Сидо</w:t>
      </w:r>
      <w:r>
        <w:t>ровым на демонтаж бетонных перекрытий и устройство металлических перекрытий четырех лифтовых шахт в гостинице. Свиридов отправил выполнять работу трех сотрудников — Карпова, Егорова и Петренко. Карпов и Егоров занимались демонтажными работами. После их око</w:t>
      </w:r>
      <w:r>
        <w:t xml:space="preserve">нчания Петренко приступил к сварочным работам новых перекрытий шахты лифта. Чтобы измерить длину и ширину металлического профиля, он спустился на настил в шахте, который остался на уровне 12 этажа после демонтажа лифта. </w:t>
      </w:r>
    </w:p>
    <w:p w:rsidR="00000000" w:rsidRDefault="00793EBC">
      <w:pPr>
        <w:spacing w:after="280" w:afterAutospacing="1"/>
      </w:pPr>
      <w:r>
        <w:t>Карпов в этот момент находился на т</w:t>
      </w:r>
      <w:r>
        <w:t xml:space="preserve">ехническом этаже. Он услышал крик Петренко и прибежал к месту работ. Петренко там не было, а из шахты поднимались клубы пыли. Карпов вместе с другими работникам спустились вниз. Они обнаружили Петренко на дне шахты лифта под бетонными обломками и досками. </w:t>
      </w:r>
      <w:r>
        <w:t xml:space="preserve">Сотрудники освободили пострадавшего, уложили его на дверное полотно и вызвали скорую помощь. Врачи оказали Петренко первую помощь и доставили его в городскую больницу. От полученных ран пострадавший </w:t>
      </w:r>
      <w:r>
        <w:lastRenderedPageBreak/>
        <w:t>скончался в приемном покое. Смерть наступила в результате</w:t>
      </w:r>
      <w:r>
        <w:t xml:space="preserve"> тупой травмы головы, груди и таза. Алкоголя в крови пострадавшего не обнаружили. </w:t>
      </w:r>
    </w:p>
    <w:p w:rsidR="00000000" w:rsidRDefault="00793EBC">
      <w:pPr>
        <w:pStyle w:val="2"/>
        <w:spacing w:after="280" w:afterAutospacing="1"/>
      </w:pPr>
      <w:r>
        <w:t>Первичное расследование</w:t>
      </w:r>
    </w:p>
    <w:p w:rsidR="00000000" w:rsidRDefault="00793EBC"/>
    <w:p w:rsidR="00000000" w:rsidRDefault="00793EBC">
      <w:pPr>
        <w:spacing w:after="280" w:afterAutospacing="1"/>
      </w:pPr>
      <w:r>
        <w:t>Работодатель пострадавшего Свиридов провел расследование несчастного случая. В комиссию он включил главного специалиста отдела страхования профессиональных рисков ФСС, главного технического инспект</w:t>
      </w:r>
      <w:r>
        <w:t>ора труда профсоюза, представителя городской администрации, представителя заказчика, двух своих сотрудников — начальника производственно-технического отдела и прораба, внештатного специалиста по охране труда. Возглавил комиссию главный государственный инсп</w:t>
      </w:r>
      <w:r>
        <w:t xml:space="preserve">ектор труда. </w:t>
      </w:r>
    </w:p>
    <w:p w:rsidR="00000000" w:rsidRDefault="00793EBC">
      <w:pPr>
        <w:spacing w:after="280" w:afterAutospacing="1"/>
      </w:pPr>
      <w:r>
        <w:t>Во время расследования комиссия выяснила, что подрядчик не разработал проект производства работ, из-за чего вместе с сотрудником обрушились незакрепленные в шахте лифта конструкции и оборудование. Комиссия квалифицировала несчастный случай ка</w:t>
      </w:r>
      <w:r>
        <w:t>к связанный с производством и признала виновным индивидуального предпринимателя Свиридова. Работодатель прежде всего не обучил сотрудника работе на высоте, не выдал ему средства защиты для работы на высоте — страховочную привязь. Свиридов проигнорировал тр</w:t>
      </w:r>
      <w:r>
        <w:t xml:space="preserve">ебование закона и не отстранил работника, необеспеченного СИЗ. Это и стало основной причиной смертельного несчастного случая (см. таблицу с другими причинами). В действиях пострадавшего Петренко комиссия не выявила грубую неосторожность. </w:t>
      </w:r>
    </w:p>
    <w:p w:rsidR="00000000" w:rsidRDefault="00793EBC">
      <w:pPr>
        <w:spacing w:after="280" w:afterAutospacing="1"/>
      </w:pPr>
      <w:r>
        <w:t xml:space="preserve">На момент смерти </w:t>
      </w:r>
      <w:r>
        <w:t xml:space="preserve">у Петренко не было иждивенцев — жены и детей. Поэтому работодатель Свиридов в добровольном порядке оплатил расходы на похороны сотрудника и оказал матери потерпевшего материальную помощь. </w:t>
      </w:r>
    </w:p>
    <w:p w:rsidR="00000000" w:rsidRDefault="00793EBC">
      <w:pPr>
        <w:pStyle w:val="strong"/>
        <w:spacing w:after="280" w:afterAutospacing="1"/>
      </w:pPr>
      <w:r>
        <w:t>Причины несчастного случая по мнению комиссии работодателя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57"/>
        <w:gridCol w:w="4273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htable-thead-th"/>
            </w:pPr>
            <w:r>
              <w:t xml:space="preserve">Причины </w:t>
            </w:r>
            <w:r>
              <w:t>несчастного случая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htable-thead-th"/>
            </w:pPr>
            <w:r>
              <w:t>Ссылки на нормативные документы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dtable-td"/>
            </w:pPr>
            <w:r>
              <w:t>Работодатель не разработал проект производства работ или технологическую карту для выполнения строительно-монтажных работ. В ней должна быть техническая информация по безопасному производству работ и сани</w:t>
            </w:r>
            <w:r>
              <w:t xml:space="preserve">тарно-гигиеническому обслуживанию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dtable-td"/>
            </w:pPr>
            <w:r>
              <w:t xml:space="preserve">Статьи </w:t>
            </w:r>
            <w:r>
              <w:rPr>
                <w:rStyle w:val="Spanlink"/>
                <w:u w:val="single"/>
              </w:rPr>
              <w:t>22</w:t>
            </w:r>
            <w:r>
              <w:t xml:space="preserve"> и </w:t>
            </w:r>
            <w:r>
              <w:rPr>
                <w:rStyle w:val="Spanlink"/>
                <w:u w:val="single"/>
              </w:rPr>
              <w:t>212</w:t>
            </w:r>
            <w:r>
              <w:t xml:space="preserve"> ТК;</w:t>
            </w:r>
            <w:r>
              <w:br/>
            </w:r>
            <w:r>
              <w:rPr>
                <w:rStyle w:val="Spanlink"/>
                <w:u w:val="single"/>
              </w:rPr>
              <w:t>пункт 1.23</w:t>
            </w:r>
            <w:r>
              <w:t xml:space="preserve"> ПОТ Р М-012-2000 «Межотраслевые правила по охране труда при работе на высоте», утв. постановлением Минтруда от 04.10.2000 № 68*;</w:t>
            </w:r>
            <w:r>
              <w:br/>
            </w:r>
            <w:r>
              <w:rPr>
                <w:rStyle w:val="Spanlink"/>
                <w:u w:val="single"/>
              </w:rPr>
              <w:t>пункт 4.1.1</w:t>
            </w:r>
            <w:r>
              <w:t xml:space="preserve"> СНиП 12-04-2002 «Безопасность труда в </w:t>
            </w:r>
            <w:r>
              <w:t xml:space="preserve">строительстве. Часть 2. Строительное производство», утв. постановлением Госстроя </w:t>
            </w:r>
            <w:r>
              <w:lastRenderedPageBreak/>
              <w:t xml:space="preserve">от 17.09.2002 № 123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dtable-td"/>
            </w:pPr>
            <w:r>
              <w:lastRenderedPageBreak/>
              <w:t>Работодатель не обеспечил пострадавшего спецодеждой, спецобувью и другими СИЗ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dtable-td"/>
            </w:pPr>
            <w:r>
              <w:t xml:space="preserve">Статьи </w:t>
            </w:r>
            <w:r>
              <w:rPr>
                <w:rStyle w:val="Spanlink"/>
                <w:u w:val="single"/>
              </w:rPr>
              <w:t>212</w:t>
            </w:r>
            <w:r>
              <w:t xml:space="preserve"> и </w:t>
            </w:r>
            <w:r>
              <w:rPr>
                <w:rStyle w:val="Spanlink"/>
                <w:u w:val="single"/>
              </w:rPr>
              <w:t>221</w:t>
            </w:r>
            <w:r>
              <w:t xml:space="preserve"> ТК;</w:t>
            </w:r>
            <w:r>
              <w:br/>
            </w:r>
            <w:r>
              <w:rPr>
                <w:rStyle w:val="Spanlink"/>
                <w:u w:val="single"/>
              </w:rPr>
              <w:t>пункт 5.13</w:t>
            </w:r>
            <w:r>
              <w:t xml:space="preserve"> СНиП 12-03-2001 «Безопасность труда в строи</w:t>
            </w:r>
            <w:r>
              <w:t>тельстве. Часть 1. Общие требования», утв. постановлением Госстроя от 23.07.2001 № 80;</w:t>
            </w:r>
            <w:r>
              <w:br/>
            </w:r>
            <w:r>
              <w:rPr>
                <w:rStyle w:val="Spanlink"/>
                <w:u w:val="single"/>
              </w:rPr>
              <w:t>пункты 6.1.1</w:t>
            </w:r>
            <w:r>
              <w:t xml:space="preserve"> и </w:t>
            </w:r>
            <w:r>
              <w:rPr>
                <w:rStyle w:val="Spanlink"/>
                <w:u w:val="single"/>
              </w:rPr>
              <w:t>6.1.5</w:t>
            </w:r>
            <w:r>
              <w:t xml:space="preserve"> ПОТ РМ-012-2000 «Межотраслевые правила по охране труда при работе на высоте», утв. постановлением Минтруда от 04.10.2000 № 68*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dtable-td"/>
            </w:pPr>
            <w:r>
              <w:t>Работодатель не отс</w:t>
            </w:r>
            <w:r>
              <w:t>транил от работы сотрудника, не обеспеченного СИЗ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dtable-td"/>
            </w:pPr>
            <w:r>
              <w:rPr>
                <w:rStyle w:val="Spanlink"/>
                <w:u w:val="single"/>
              </w:rPr>
              <w:t>Статья. 76</w:t>
            </w:r>
            <w:r>
              <w:t xml:space="preserve"> ТК;</w:t>
            </w:r>
            <w:r>
              <w:br/>
            </w:r>
            <w:r>
              <w:rPr>
                <w:rStyle w:val="Spanlink"/>
                <w:u w:val="single"/>
              </w:rPr>
              <w:t>пункт 26</w:t>
            </w:r>
            <w:r>
              <w:t> Межотраслевых правил обеспечения работников специальной одеждой, специальной обувью и другими средствами индивидуальной защиты, утв. приказом Минздравсоцразвития от 01.06.2009 № 290н</w:t>
            </w:r>
            <w: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dtable-td"/>
            </w:pPr>
            <w:r>
              <w:t xml:space="preserve">Работодатель допустил к работе сотрудника, который не прошел обучение по охране труда и проверку знаний требований охраны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93EBC">
            <w:pPr>
              <w:pStyle w:val="Tdtable-td"/>
            </w:pPr>
            <w:r>
              <w:t xml:space="preserve">Статьи </w:t>
            </w:r>
            <w:r>
              <w:rPr>
                <w:rStyle w:val="Spanlink"/>
                <w:u w:val="single"/>
              </w:rPr>
              <w:t>22</w:t>
            </w:r>
            <w:r>
              <w:t xml:space="preserve"> и </w:t>
            </w:r>
            <w:r>
              <w:rPr>
                <w:rStyle w:val="Spanlink"/>
                <w:u w:val="single"/>
              </w:rPr>
              <w:t>212</w:t>
            </w:r>
            <w:r>
              <w:t xml:space="preserve"> ТК;</w:t>
            </w:r>
            <w:r>
              <w:br/>
              <w:t xml:space="preserve">пункты </w:t>
            </w:r>
            <w:r>
              <w:rPr>
                <w:rStyle w:val="Spanlink"/>
                <w:u w:val="single"/>
              </w:rPr>
              <w:t>1.5</w:t>
            </w:r>
            <w:r>
              <w:t xml:space="preserve">, </w:t>
            </w:r>
            <w:r>
              <w:rPr>
                <w:rStyle w:val="Spanlink"/>
                <w:u w:val="single"/>
              </w:rPr>
              <w:t>2.2.1</w:t>
            </w:r>
            <w:r>
              <w:t xml:space="preserve"> и </w:t>
            </w:r>
            <w:r>
              <w:rPr>
                <w:rStyle w:val="Spanlink"/>
                <w:u w:val="single"/>
              </w:rPr>
              <w:t>2.2.2</w:t>
            </w:r>
            <w:r>
              <w:t xml:space="preserve"> Порядка обучения по охране труда и проверки знаний требований охраны труда раб</w:t>
            </w:r>
            <w:r>
              <w:t xml:space="preserve">отников организаций, утв. постановлением Минтруда, Минобразования от 13.01.2003 № 1/29 </w:t>
            </w:r>
          </w:p>
        </w:tc>
      </w:tr>
    </w:tbl>
    <w:p w:rsidR="00000000" w:rsidRDefault="00793EBC"/>
    <w:p w:rsidR="00000000" w:rsidRDefault="00793EBC">
      <w:pPr>
        <w:pStyle w:val="footnote"/>
        <w:spacing w:after="280" w:afterAutospacing="1"/>
      </w:pPr>
      <w:r>
        <w:t>* Документ действовал на момент проведения расследования несчастного случая.</w:t>
      </w:r>
    </w:p>
    <w:p w:rsidR="00000000" w:rsidRDefault="00793EBC">
      <w:pPr>
        <w:pStyle w:val="2"/>
        <w:spacing w:after="280" w:afterAutospacing="1"/>
      </w:pPr>
      <w:r>
        <w:t>Дополнительное расследование</w:t>
      </w:r>
    </w:p>
    <w:p w:rsidR="00000000" w:rsidRDefault="00793EBC">
      <w:pPr>
        <w:spacing w:after="280" w:afterAutospacing="1"/>
      </w:pPr>
      <w:r>
        <w:t>В 2017 году, спустя два года после несчастного случая, в Гос</w:t>
      </w:r>
      <w:r>
        <w:t xml:space="preserve">ударственную инспекцию труда обратилась мать погибшего Петренко. Она написала заявление, что не согласна с выводами комиссии работодателя. Она считает, что члены комиссии неверно определили ответственных за произошедший несчастный случай. </w:t>
      </w:r>
    </w:p>
    <w:p w:rsidR="00000000" w:rsidRDefault="00793EBC">
      <w:pPr>
        <w:spacing w:after="280" w:afterAutospacing="1"/>
      </w:pPr>
      <w:r>
        <w:t>Инспектор ГИТ на</w:t>
      </w:r>
      <w:r>
        <w:t xml:space="preserve"> основании заявления матери пострадавшего провел дополнительное расследование несчастного случая. </w:t>
      </w:r>
    </w:p>
    <w:p w:rsidR="00000000" w:rsidRDefault="00793EBC">
      <w:pPr>
        <w:spacing w:after="280" w:afterAutospacing="1"/>
      </w:pPr>
      <w:r>
        <w:t>В своем заключении инспектор указал, что:</w:t>
      </w:r>
    </w:p>
    <w:p w:rsidR="00000000" w:rsidRDefault="00793EBC">
      <w:pPr>
        <w:pStyle w:val="Ul"/>
        <w:numPr>
          <w:ilvl w:val="0"/>
          <w:numId w:val="1"/>
        </w:numPr>
      </w:pPr>
      <w:r>
        <w:lastRenderedPageBreak/>
        <w:t xml:space="preserve">работы на строительном объекте вели не в той технологической последовательности, которая предусмотрена календарным </w:t>
      </w:r>
      <w:r>
        <w:t xml:space="preserve">графиком; </w:t>
      </w:r>
    </w:p>
    <w:p w:rsidR="00000000" w:rsidRDefault="00793EBC">
      <w:pPr>
        <w:pStyle w:val="Ul"/>
        <w:numPr>
          <w:ilvl w:val="0"/>
          <w:numId w:val="1"/>
        </w:numPr>
      </w:pPr>
      <w:r>
        <w:t xml:space="preserve">заказчик не разработал совместно с подрядчиком график выполнения совмещенных работ, не оформил исполнителю акт-допуск на производственную территорию; </w:t>
      </w:r>
    </w:p>
    <w:p w:rsidR="00000000" w:rsidRDefault="00793EBC">
      <w:pPr>
        <w:pStyle w:val="Ul"/>
        <w:numPr>
          <w:ilvl w:val="0"/>
          <w:numId w:val="1"/>
        </w:numPr>
        <w:spacing w:after="280" w:afterAutospacing="1"/>
      </w:pPr>
      <w:r>
        <w:t>не было надлежащего контроля за условиями труда на строительном объекте в период, когда на стр</w:t>
      </w:r>
      <w:r>
        <w:t xml:space="preserve">оительной площадке одновременно работали нескольких подрядных организаций. </w:t>
      </w:r>
    </w:p>
    <w:p w:rsidR="00000000" w:rsidRDefault="00793EBC">
      <w:pPr>
        <w:spacing w:after="280" w:afterAutospacing="1"/>
      </w:pPr>
      <w:r>
        <w:t xml:space="preserve">Инспектор ГИТ сделал вывод, что в гибели сотрудника виноват не только подрядчик Свиридов, но и заказчик — директор ООО «Альтаир» Сидоров. </w:t>
      </w:r>
    </w:p>
    <w:p w:rsidR="00000000" w:rsidRDefault="00793EBC">
      <w:pPr>
        <w:spacing w:after="280" w:afterAutospacing="1"/>
      </w:pPr>
      <w:r>
        <w:t xml:space="preserve">На основании заключения государственного </w:t>
      </w:r>
      <w:r>
        <w:t xml:space="preserve">инспектора работодатель пострадавшего составил новый акт расследования. </w:t>
      </w:r>
    </w:p>
    <w:p w:rsidR="00000000" w:rsidRDefault="00793EBC">
      <w:pPr>
        <w:spacing w:after="280" w:afterAutospacing="1"/>
      </w:pPr>
      <w:r>
        <w:t xml:space="preserve">Директор ООО «Альтаир» Сидоров не стал оспаривать в суде свою вину. Он решил добровольно выплатить матери погибшего Петренко существенную сумму. </w:t>
      </w:r>
    </w:p>
    <w:p w:rsidR="00000000" w:rsidRDefault="00793EBC">
      <w:pPr>
        <w:spacing w:after="280" w:afterAutospacing="1"/>
      </w:pPr>
      <w:r>
        <w:t>Кроме того, мать Петренко планирует о</w:t>
      </w:r>
      <w:r>
        <w:t>братиться с иском в суд. Она хочет, чтобы суд признал, что на момент гибели сына она находилась на его иждивении. В этом случае ФСС выплатит ей миллион рублей в качестве единовременной страховой выплаты (</w:t>
      </w:r>
      <w:r>
        <w:rPr>
          <w:rStyle w:val="Spanlink"/>
          <w:u w:val="single"/>
        </w:rPr>
        <w:t>ст. 11</w:t>
      </w:r>
      <w:r>
        <w:t xml:space="preserve"> Федерального закона от 24.07.1998 № 125-ФЗ «О</w:t>
      </w:r>
      <w:r>
        <w:t xml:space="preserve">б обязательном социальном страховании от несчастных случаев на производстве и профессиональных заболеваний»). </w:t>
      </w:r>
    </w:p>
    <w:p w:rsidR="00000000" w:rsidRDefault="00793EBC">
      <w:pPr>
        <w:pStyle w:val="footnote"/>
        <w:spacing w:after="280" w:afterAutospacing="1"/>
      </w:pPr>
      <w:r>
        <w:rPr>
          <w:rStyle w:val="Spanlink"/>
          <w:u w:val="single"/>
        </w:rPr>
        <w:t>*</w:t>
      </w:r>
      <w:r>
        <w:t xml:space="preserve"> Все фамилии изменены. </w:t>
      </w:r>
    </w:p>
    <w:p w:rsidR="00793EBC" w:rsidRDefault="00793EBC">
      <w:pPr>
        <w:spacing w:after="280" w:afterAutospacing="1"/>
      </w:pPr>
      <w:r>
        <w:t xml:space="preserve">  </w:t>
      </w:r>
    </w:p>
    <w:sectPr w:rsidR="00793E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793EBC"/>
    <w:rsid w:val="00FA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2018-07-03T07:11:00Z</dcterms:created>
  <dcterms:modified xsi:type="dcterms:W3CDTF">2018-07-03T07:11:00Z</dcterms:modified>
</cp:coreProperties>
</file>