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F265F0">
      <w:pPr>
        <w:pStyle w:val="electron-p"/>
        <w:spacing w:after="280" w:afterAutospacing="1"/>
      </w:pPr>
      <w:r>
        <w:t>Электронный журнал</w:t>
      </w:r>
    </w:p>
    <w:p w:rsidR="00000000" w:rsidRDefault="00F265F0">
      <w:pPr>
        <w:spacing w:after="280" w:afterAutospacing="1"/>
      </w:pPr>
      <w:r>
        <w:t>Средства индивидуальной защиты</w:t>
      </w:r>
    </w:p>
    <w:p w:rsidR="00000000" w:rsidRDefault="00F265F0">
      <w:pPr>
        <w:spacing w:after="280" w:afterAutospacing="1"/>
      </w:pPr>
      <w:r>
        <w:rPr>
          <w:b/>
          <w:bCs/>
        </w:rPr>
        <w:t>Особенности спецоценки социальных работников, ухаживающих за престарелыми</w:t>
      </w:r>
    </w:p>
    <w:p w:rsidR="00000000" w:rsidRDefault="00F265F0">
      <w:pPr>
        <w:spacing w:after="280" w:afterAutospacing="1"/>
      </w:pPr>
      <w:r>
        <w:rPr>
          <w:b/>
          <w:bCs/>
        </w:rPr>
        <w:t>Олег КОНОВАЛОВ</w:t>
      </w:r>
      <w:r>
        <w:br/>
        <w:t xml:space="preserve">генеральный директор ООО "Юридическое сопровождение трудовых отношений" (Москва) </w:t>
      </w:r>
    </w:p>
    <w:p w:rsidR="00000000" w:rsidRDefault="00F265F0">
      <w:pPr>
        <w:spacing w:after="280" w:afterAutospacing="1"/>
      </w:pPr>
      <w:r>
        <w:rPr>
          <w:b/>
          <w:bCs/>
        </w:rPr>
        <w:t>Ключевые проблемы</w:t>
      </w:r>
    </w:p>
    <w:p w:rsidR="00000000" w:rsidRDefault="00F265F0">
      <w:pPr>
        <w:pStyle w:val="Ul"/>
        <w:numPr>
          <w:ilvl w:val="0"/>
          <w:numId w:val="1"/>
        </w:numPr>
      </w:pPr>
      <w:r>
        <w:t>Нужно ли п</w:t>
      </w:r>
      <w:r>
        <w:t>роводить спецоценку условий труда социальных работников, ухаживающих за престарелыми?</w:t>
      </w:r>
    </w:p>
    <w:p w:rsidR="00000000" w:rsidRDefault="00F265F0">
      <w:pPr>
        <w:pStyle w:val="Ul"/>
        <w:numPr>
          <w:ilvl w:val="0"/>
          <w:numId w:val="1"/>
        </w:numPr>
      </w:pPr>
      <w:r>
        <w:t>К какой категории относятся рабочие места социальных работников?</w:t>
      </w:r>
    </w:p>
    <w:p w:rsidR="00000000" w:rsidRDefault="00F265F0">
      <w:pPr>
        <w:pStyle w:val="Ul"/>
        <w:numPr>
          <w:ilvl w:val="0"/>
          <w:numId w:val="1"/>
        </w:numPr>
      </w:pPr>
      <w:r>
        <w:t>Как проводится спецоценка условий труда социальных работников, ухаживающих за престарелыми?</w:t>
      </w:r>
    </w:p>
    <w:p w:rsidR="00000000" w:rsidRDefault="00F265F0">
      <w:pPr>
        <w:pStyle w:val="Ul"/>
        <w:numPr>
          <w:ilvl w:val="0"/>
          <w:numId w:val="1"/>
        </w:numPr>
      </w:pPr>
      <w:r>
        <w:t>Как оценивают</w:t>
      </w:r>
      <w:r>
        <w:t>ся отдельные параметры производственной среды социальных работников?</w:t>
      </w:r>
    </w:p>
    <w:p w:rsidR="00000000" w:rsidRDefault="00F265F0">
      <w:pPr>
        <w:pStyle w:val="Ul"/>
        <w:numPr>
          <w:ilvl w:val="0"/>
          <w:numId w:val="1"/>
        </w:numPr>
        <w:spacing w:after="280" w:afterAutospacing="1"/>
      </w:pPr>
      <w:r>
        <w:t>Что учесть при оформлении результатов спецоценки условий труда социальных работников?</w:t>
      </w:r>
    </w:p>
    <w:p w:rsidR="00000000" w:rsidRDefault="00F265F0"/>
    <w:p w:rsidR="00000000" w:rsidRDefault="00F265F0">
      <w:pPr>
        <w:pStyle w:val="2"/>
        <w:spacing w:after="280" w:afterAutospacing="1"/>
      </w:pPr>
      <w:r>
        <w:t>Нужно ли провод</w:t>
      </w:r>
      <w:r>
        <w:t>ить спецоценку условий труда социальных работников, ухаживающих за престарелыми</w:t>
      </w:r>
    </w:p>
    <w:p w:rsidR="00000000" w:rsidRDefault="00F265F0">
      <w:pPr>
        <w:spacing w:after="280" w:afterAutospacing="1"/>
      </w:pPr>
      <w:r>
        <w:t>Практическая реализация результатов специальной оценки условий труда является краеугольным камнем современных отношений между работником и работодателем. Однако проведение спец</w:t>
      </w:r>
      <w:r>
        <w:t xml:space="preserve">оценки на практике выполняется если не формально, то стремится к профанации. Это обусловлено тем, что: </w:t>
      </w:r>
    </w:p>
    <w:p w:rsidR="00000000" w:rsidRDefault="00F265F0">
      <w:pPr>
        <w:pStyle w:val="Ul"/>
        <w:numPr>
          <w:ilvl w:val="0"/>
          <w:numId w:val="2"/>
        </w:numPr>
      </w:pPr>
      <w:r>
        <w:t>установлены крупные штрафы за непроведение спецоценки (</w:t>
      </w:r>
      <w:r>
        <w:rPr>
          <w:rStyle w:val="Spanlink"/>
          <w:u w:val="single"/>
        </w:rPr>
        <w:t>ст. 5.27.1 КоАП РФ</w:t>
      </w:r>
      <w:r>
        <w:t xml:space="preserve">); </w:t>
      </w:r>
    </w:p>
    <w:p w:rsidR="00000000" w:rsidRDefault="00F265F0">
      <w:pPr>
        <w:pStyle w:val="Ul"/>
        <w:numPr>
          <w:ilvl w:val="0"/>
          <w:numId w:val="2"/>
        </w:numPr>
      </w:pPr>
      <w:r>
        <w:t>недостаточно налажен контроль за рынком услуг по проведению спецоценки;</w:t>
      </w:r>
    </w:p>
    <w:p w:rsidR="00000000" w:rsidRDefault="00F265F0">
      <w:pPr>
        <w:pStyle w:val="Ul"/>
        <w:numPr>
          <w:ilvl w:val="0"/>
          <w:numId w:val="2"/>
        </w:numPr>
      </w:pPr>
      <w:r>
        <w:t>Мин</w:t>
      </w:r>
      <w:r>
        <w:t>труд и Роструд дают невнятные рекомендации к применению результатов спецоценки;</w:t>
      </w:r>
    </w:p>
    <w:p w:rsidR="00000000" w:rsidRDefault="00F265F0">
      <w:pPr>
        <w:pStyle w:val="Ul"/>
        <w:numPr>
          <w:ilvl w:val="0"/>
          <w:numId w:val="2"/>
        </w:numPr>
        <w:spacing w:after="280" w:afterAutospacing="1"/>
      </w:pPr>
      <w:r>
        <w:lastRenderedPageBreak/>
        <w:t xml:space="preserve">работодатель склонен формально выполнять обязанности по обеспечению работников безопасными условиями труда. </w:t>
      </w:r>
    </w:p>
    <w:p w:rsidR="00000000" w:rsidRDefault="00F265F0">
      <w:pPr>
        <w:spacing w:after="280" w:afterAutospacing="1"/>
      </w:pPr>
      <w:r>
        <w:t>Спецоценка должна быть проведена на всех рабочих местах. Но законом</w:t>
      </w:r>
      <w:r>
        <w:t xml:space="preserve"> предусмотрен ряд исключений. Не проводится спецоценка на рабочих местах надомников, дистанционных работников и работников, нанятых работодателями – физическими лицами, не являющимися индивидуальными предпринимателями</w:t>
      </w:r>
      <w:r>
        <w:rPr>
          <w:rStyle w:val="Spanlink"/>
          <w:u w:val="single"/>
          <w:vertAlign w:val="superscript"/>
        </w:rPr>
        <w:t>1</w:t>
      </w:r>
      <w:r>
        <w:t xml:space="preserve">. </w:t>
      </w:r>
    </w:p>
    <w:p w:rsidR="00000000" w:rsidRDefault="00F265F0">
      <w:pPr>
        <w:spacing w:after="280" w:afterAutospacing="1"/>
      </w:pPr>
      <w:r>
        <w:t>Таким образом, рабочие места социал</w:t>
      </w:r>
      <w:r>
        <w:t xml:space="preserve">ьных работников, в том числе и тех, чья трудовая функция связана с проведением работ на территории опекаемых граждан, должны быть подвергнуты спецоценке. </w:t>
      </w:r>
    </w:p>
    <w:tbl>
      <w:tblPr>
        <w:tblW w:w="5000" w:type="pct"/>
        <w:tblCellSpacing w:w="30" w:type="dxa"/>
        <w:tblCellMar>
          <w:top w:w="30" w:type="dxa"/>
          <w:left w:w="30" w:type="dxa"/>
          <w:bottom w:w="30" w:type="dxa"/>
          <w:right w:w="30" w:type="dxa"/>
        </w:tblCellMar>
        <w:tblLook w:val="04A0"/>
      </w:tblPr>
      <w:tblGrid>
        <w:gridCol w:w="2352"/>
        <w:gridCol w:w="1619"/>
        <w:gridCol w:w="4849"/>
      </w:tblGrid>
      <w:tr w:rsidR="00000000">
        <w:trPr>
          <w:tblCellSpacing w:w="30" w:type="dxa"/>
        </w:trPr>
        <w:tc>
          <w:tcPr>
            <w:tcW w:w="0" w:type="auto"/>
            <w:vAlign w:val="center"/>
          </w:tcPr>
          <w:p w:rsidR="00000000" w:rsidRDefault="00FC6953">
            <w:r>
              <w:rPr>
                <w:noProof/>
              </w:rPr>
              <w:drawing>
                <wp:inline distT="0" distB="0" distL="0" distR="0">
                  <wp:extent cx="1266825" cy="12668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tc>
        <w:tc>
          <w:tcPr>
            <w:tcW w:w="0" w:type="auto"/>
            <w:vAlign w:val="center"/>
          </w:tcPr>
          <w:p w:rsidR="00000000" w:rsidRDefault="00F265F0">
            <w:pPr>
              <w:pStyle w:val="newsmaker-name"/>
            </w:pPr>
            <w:r>
              <w:t>Андрей СЛЕПОВ, </w:t>
            </w:r>
          </w:p>
        </w:tc>
        <w:tc>
          <w:tcPr>
            <w:tcW w:w="0" w:type="auto"/>
            <w:vAlign w:val="center"/>
          </w:tcPr>
          <w:p w:rsidR="00000000" w:rsidRDefault="00F265F0">
            <w:pPr>
              <w:pStyle w:val="newsmaker-info"/>
            </w:pPr>
            <w:r>
              <w:t xml:space="preserve">старший юрист, руководитель практики трудового и миграционного права международной </w:t>
            </w:r>
            <w:r>
              <w:t xml:space="preserve">юридической фирмы «БАЙТЕН БУРКХАРДТ» (Москва) </w:t>
            </w:r>
          </w:p>
        </w:tc>
      </w:tr>
      <w:tr w:rsidR="00000000">
        <w:trPr>
          <w:tblCellSpacing w:w="30" w:type="dxa"/>
        </w:trPr>
        <w:tc>
          <w:tcPr>
            <w:tcW w:w="0" w:type="auto"/>
            <w:gridSpan w:val="3"/>
            <w:vAlign w:val="center"/>
          </w:tcPr>
          <w:p w:rsidR="00000000" w:rsidRDefault="00F265F0">
            <w:pPr>
              <w:pStyle w:val="newsmaker-header"/>
              <w:spacing w:after="280" w:afterAutospacing="1"/>
            </w:pPr>
            <w:r>
              <w:t>Предупреждает:</w:t>
            </w:r>
          </w:p>
          <w:p w:rsidR="00000000" w:rsidRDefault="00F265F0">
            <w:pPr>
              <w:pStyle w:val="newsmaker-p"/>
            </w:pPr>
            <w:r>
              <w:t>Специалисты по социальной работе, как правило, не являются служащими муниципалитетов, хотя и тесно взаимодействуют с ними. Поэтому центру социального обслуживания, планируя бюджет, необходимо у</w:t>
            </w:r>
            <w:r>
              <w:t>читывать расходы на спецоценку рабочих мест данных сотрудников. При этом рабочие места социальных работников обычно являются аналогичными, что влечет оценку только 20 процентов мест, но не менее двух. Таким образом, расходы на проведение плановой спецоценк</w:t>
            </w:r>
            <w:r>
              <w:t xml:space="preserve">и не должны быть существенными. Более того, если вредные и опасные факторы по результатам оценки выявлены не будут, то можно подать декларацию соответствия условий труда государственным нормативам. А при отсутствии переездов, зарегистрированных несчастных </w:t>
            </w:r>
            <w:r>
              <w:t xml:space="preserve">случаев (в том числе на общественном транспорте, которым часто пользуются такие сотрудники) и других оснований для внеплановой спецоценки о ее проведении в отношении данной категории работников после подачи декларации можно забыть надолго. </w:t>
            </w:r>
          </w:p>
        </w:tc>
      </w:tr>
    </w:tbl>
    <w:p w:rsidR="00000000" w:rsidRDefault="00F265F0">
      <w:pPr>
        <w:pStyle w:val="2"/>
        <w:spacing w:after="280" w:afterAutospacing="1"/>
      </w:pPr>
      <w:r>
        <w:lastRenderedPageBreak/>
        <w:t>К какой катего</w:t>
      </w:r>
      <w:r>
        <w:t>рии относятся рабочие места социальных работников</w:t>
      </w:r>
    </w:p>
    <w:p w:rsidR="00000000" w:rsidRDefault="00F265F0">
      <w:pPr>
        <w:spacing w:after="280" w:afterAutospacing="1"/>
      </w:pPr>
      <w:r>
        <w:t>Перед проведением спецоценки нужно убедиться, действительно ли она необходима социальным работникам, которые обслуживают престарелых по месту их жительства. Ведь рабочее место – это место, где работник долж</w:t>
      </w:r>
      <w:r>
        <w:t>ен находиться или куда ему необходимо прибыть в связи с его работой и которое прямо или косвенно находится под контролем работодателя (</w:t>
      </w:r>
      <w:r>
        <w:rPr>
          <w:rStyle w:val="Spanlink"/>
          <w:u w:val="single"/>
        </w:rPr>
        <w:t>ст. 209 ТК РФ</w:t>
      </w:r>
      <w:r>
        <w:t xml:space="preserve">). А место жительства опекаемого социальными службами гражданина не находится под контролем работодателя. </w:t>
      </w:r>
    </w:p>
    <w:p w:rsidR="00000000" w:rsidRDefault="00F265F0">
      <w:pPr>
        <w:spacing w:after="280" w:afterAutospacing="1"/>
      </w:pPr>
      <w:r>
        <w:t>Н</w:t>
      </w:r>
      <w:r>
        <w:t xml:space="preserve">о и к категории надомников или дистанционных работников сотрудников социальных служб не отнесешь. Первые трудятся у себя дома. Вторые выполняют свои трудовые функции хотя и вне зоны ответственности работодателя, однако же заключают договор о дистанционной </w:t>
      </w:r>
      <w:r>
        <w:t>работе и используют для коммуникации с работодателем Интернет (</w:t>
      </w:r>
      <w:r>
        <w:rPr>
          <w:rStyle w:val="Spanlink"/>
          <w:u w:val="single"/>
        </w:rPr>
        <w:t>ст. 312.1 ТК РФ</w:t>
      </w:r>
      <w:r>
        <w:t xml:space="preserve">). </w:t>
      </w:r>
    </w:p>
    <w:p w:rsidR="00000000" w:rsidRDefault="00F265F0">
      <w:pPr>
        <w:spacing w:after="280" w:afterAutospacing="1"/>
      </w:pPr>
      <w:r>
        <w:t>В перечень рабочих мест, на которых спецоценка должна проводиться с учетом особенностей отдельных видов деятельности, социальные работники также не включены</w:t>
      </w:r>
      <w:r>
        <w:rPr>
          <w:rStyle w:val="Spanlink"/>
          <w:u w:val="single"/>
          <w:vertAlign w:val="superscript"/>
        </w:rPr>
        <w:t>2</w:t>
      </w:r>
      <w:r>
        <w:t xml:space="preserve">. </w:t>
      </w:r>
    </w:p>
    <w:p w:rsidR="00000000" w:rsidRDefault="00F265F0">
      <w:pPr>
        <w:spacing w:after="280" w:afterAutospacing="1"/>
      </w:pPr>
      <w:r>
        <w:t>Для целей пров</w:t>
      </w:r>
      <w:r>
        <w:t xml:space="preserve">едения спецоценки экспертам следует относить указанные рабочие места к рабочим местам </w:t>
      </w:r>
      <w:r>
        <w:rPr>
          <w:b/>
          <w:bCs/>
        </w:rPr>
        <w:t>с</w:t>
      </w:r>
      <w:r>
        <w:t> </w:t>
      </w:r>
      <w:r>
        <w:rPr>
          <w:b/>
          <w:bCs/>
        </w:rPr>
        <w:t>территориально меняющимися рабочими зонами</w:t>
      </w:r>
      <w:r>
        <w:t>. Рабочей зоной в этом случае считается оснащенная необходимыми средствами производства часть рабочего места, в которой один и</w:t>
      </w:r>
      <w:r>
        <w:t>ли несколько работников выполняют схожие работы или технологические операции</w:t>
      </w:r>
      <w:r>
        <w:rPr>
          <w:rStyle w:val="Spanlink"/>
          <w:u w:val="single"/>
          <w:vertAlign w:val="superscript"/>
        </w:rPr>
        <w:t>3</w:t>
      </w:r>
      <w:r>
        <w:t xml:space="preserve">. </w:t>
      </w:r>
    </w:p>
    <w:p w:rsidR="00000000" w:rsidRDefault="00F265F0">
      <w:pPr>
        <w:spacing w:after="280" w:afterAutospacing="1"/>
      </w:pPr>
      <w:r>
        <w:t>Спецоценка таких рабочих мест проводится аккредитованным экспертом</w:t>
      </w:r>
      <w:r>
        <w:rPr>
          <w:rStyle w:val="Spanlink"/>
          <w:u w:val="single"/>
          <w:vertAlign w:val="superscript"/>
        </w:rPr>
        <w:t>4</w:t>
      </w:r>
      <w:r>
        <w:t> по общей методике</w:t>
      </w:r>
      <w:r>
        <w:rPr>
          <w:rStyle w:val="Spanlink"/>
          <w:u w:val="single"/>
          <w:vertAlign w:val="superscript"/>
        </w:rPr>
        <w:t>5</w:t>
      </w:r>
      <w:r>
        <w:t xml:space="preserve">. </w:t>
      </w:r>
    </w:p>
    <w:p w:rsidR="00000000" w:rsidRDefault="00F265F0">
      <w:pPr>
        <w:pStyle w:val="2"/>
        <w:spacing w:after="280" w:afterAutospacing="1"/>
      </w:pPr>
      <w:r>
        <w:t>Как проводится спецоценка условий труда социальных работников, ухаживающих за престарел</w:t>
      </w:r>
      <w:r>
        <w:t>ыми</w:t>
      </w:r>
    </w:p>
    <w:p w:rsidR="00000000" w:rsidRDefault="00F265F0">
      <w:pPr>
        <w:spacing w:after="280" w:afterAutospacing="1"/>
      </w:pPr>
      <w:r>
        <w:t xml:space="preserve">Оценка параметров производственной среды с территориально меняющимися рабочими зонами применительно к работникам социальной сферы происходит следующим образом. </w:t>
      </w:r>
    </w:p>
    <w:p w:rsidR="00000000" w:rsidRDefault="00F265F0">
      <w:pPr>
        <w:spacing w:after="280" w:afterAutospacing="1"/>
      </w:pPr>
      <w:r>
        <w:rPr>
          <w:b/>
          <w:bCs/>
        </w:rPr>
        <w:lastRenderedPageBreak/>
        <w:t>Оценка совокупности параметров производственной среды</w:t>
      </w:r>
      <w:r>
        <w:t>. Эксперт в первую очередь будет иссле</w:t>
      </w:r>
      <w:r>
        <w:t xml:space="preserve">довать документацию, как это определено Методикой проведения специальной оценки условий труда. Для выявления на рабочих местах вредных и (или) опасных факторов производства необходимо изучить: </w:t>
      </w:r>
    </w:p>
    <w:p w:rsidR="00000000" w:rsidRDefault="00F265F0">
      <w:pPr>
        <w:pStyle w:val="Ul"/>
        <w:numPr>
          <w:ilvl w:val="0"/>
          <w:numId w:val="3"/>
        </w:numPr>
      </w:pPr>
      <w:r>
        <w:t>техническую (эксплуатационную) документацию на производственно</w:t>
      </w:r>
      <w:r>
        <w:t xml:space="preserve">е оборудование (машины, механизмы, инструменты и приспособления), используемое на рабочих местах работников; </w:t>
      </w:r>
    </w:p>
    <w:p w:rsidR="00000000" w:rsidRDefault="00F265F0">
      <w:pPr>
        <w:pStyle w:val="Ul"/>
        <w:numPr>
          <w:ilvl w:val="0"/>
          <w:numId w:val="3"/>
        </w:numPr>
      </w:pPr>
      <w:r>
        <w:t>технологическую документацию, характеристики технологического процесса;</w:t>
      </w:r>
    </w:p>
    <w:p w:rsidR="00000000" w:rsidRDefault="00F265F0">
      <w:pPr>
        <w:pStyle w:val="Ul"/>
        <w:numPr>
          <w:ilvl w:val="0"/>
          <w:numId w:val="3"/>
        </w:numPr>
      </w:pPr>
      <w:r>
        <w:t>должностную инструкцию и другие документы, регламентирующие обязанности ра</w:t>
      </w:r>
      <w:r>
        <w:t>ботника;</w:t>
      </w:r>
    </w:p>
    <w:p w:rsidR="00000000" w:rsidRDefault="00F265F0">
      <w:pPr>
        <w:pStyle w:val="Ul"/>
        <w:numPr>
          <w:ilvl w:val="0"/>
          <w:numId w:val="3"/>
        </w:numPr>
      </w:pPr>
      <w:r>
        <w:t xml:space="preserve">проекты строительства и (или) реконструкции производственных объектов (зданий, сооружений, производственных помещений); </w:t>
      </w:r>
    </w:p>
    <w:p w:rsidR="00000000" w:rsidRDefault="00F265F0">
      <w:pPr>
        <w:pStyle w:val="Ul"/>
        <w:numPr>
          <w:ilvl w:val="0"/>
          <w:numId w:val="3"/>
        </w:numPr>
        <w:spacing w:after="280" w:afterAutospacing="1"/>
      </w:pPr>
      <w:r>
        <w:t xml:space="preserve">результаты ранее проводившихся на данном рабочем месте исследований (испытаний) и измерений вредных и (или) опасных факторов. </w:t>
      </w:r>
    </w:p>
    <w:p w:rsidR="00000000" w:rsidRDefault="00F265F0">
      <w:pPr>
        <w:spacing w:after="280" w:afterAutospacing="1"/>
      </w:pPr>
      <w:r>
        <w:t>Вышеперечисленные документы предоставляет работодатель. Анализ документов и статистических данных эксперт может проводить дистанционно, нормативными актами это не запрещено. Такой режим позволяет оперативно оценить предоставленные сведения, сделать оценку</w:t>
      </w:r>
      <w:r>
        <w:t xml:space="preserve"> потенциальной схемы, по которой будет проходить весь комплекс мероприятий по спецоценке. Однако любой ответственный эксперт после изучения документации воспользуется правом провести обследование рабочих мест. Так он сможет ознакомиться с процессом выполне</w:t>
      </w:r>
      <w:r>
        <w:t xml:space="preserve">ния производственных операций в режиме штатной работы, а также провести при </w:t>
      </w:r>
      <w:r>
        <w:rPr>
          <w:b/>
          <w:bCs/>
        </w:rPr>
        <w:t>необходимости хронометраж рабочего времени</w:t>
      </w:r>
      <w:r>
        <w:t xml:space="preserve">. </w:t>
      </w:r>
    </w:p>
    <w:p w:rsidR="00000000" w:rsidRDefault="00F265F0">
      <w:pPr>
        <w:spacing w:after="280" w:afterAutospacing="1"/>
      </w:pPr>
      <w:r>
        <w:t>Хронометраж выполняется только в период нахождения работника в офисе. Эксперт не может провести хронометраж в месте жительства опекаемо</w:t>
      </w:r>
      <w:r>
        <w:t xml:space="preserve">го социальными службами гражданина. Поскольку оно не находится прямо или косвенно под контролем работодателя. </w:t>
      </w:r>
    </w:p>
    <w:p w:rsidR="00000000" w:rsidRDefault="00F265F0">
      <w:pPr>
        <w:spacing w:after="280" w:afterAutospacing="1"/>
      </w:pPr>
      <w:r>
        <w:t>Для указанных целей эксперт вправе (и это целесообразно, в том числе для нужд самого работодателя) оценить карты хронометража, а если их нет, то </w:t>
      </w:r>
      <w:r>
        <w:t xml:space="preserve">провести хронометражные наблюдения за рабочий день социального работника. </w:t>
      </w:r>
    </w:p>
    <w:p w:rsidR="00000000" w:rsidRDefault="00F265F0">
      <w:pPr>
        <w:spacing w:after="280" w:afterAutospacing="1"/>
      </w:pPr>
      <w:r>
        <w:t>Оценка параметров воздействия производственных факторов будет проводиться экспертом с учетом того процента времени, в течение которого эти факторы могут воздействовать на работника.</w:t>
      </w:r>
      <w:r>
        <w:t xml:space="preserve"> </w:t>
      </w:r>
    </w:p>
    <w:p w:rsidR="00000000" w:rsidRDefault="00F265F0">
      <w:pPr>
        <w:spacing w:after="280" w:afterAutospacing="1"/>
      </w:pPr>
      <w:r>
        <w:rPr>
          <w:b/>
          <w:bCs/>
        </w:rPr>
        <w:t xml:space="preserve">Идентификация вредных и опасных факторов производства. </w:t>
      </w:r>
      <w:r>
        <w:t xml:space="preserve">Эксперт обязан провести идентификацию вредных факторов. Он будет обращать внимание на непосредственный функционал работника с учетом ограниченного пребывания </w:t>
      </w:r>
      <w:r>
        <w:lastRenderedPageBreak/>
        <w:t>в офисе. То есть определяются типичные те</w:t>
      </w:r>
      <w:r>
        <w:t xml:space="preserve">хнологические операции с одинаковыми вредными и (или) опасными производственными факторами. Затем определяется время выполнения каждой технологической операции и оценивается воздействие на работников самих производственных вредных факторов. </w:t>
      </w:r>
    </w:p>
    <w:p w:rsidR="00000000" w:rsidRDefault="00F265F0">
      <w:pPr>
        <w:spacing w:after="280" w:afterAutospacing="1"/>
      </w:pPr>
      <w:r>
        <w:t>Если вредные и</w:t>
      </w:r>
      <w:r>
        <w:t xml:space="preserve">ли опасные факторы не идентифицированы, условия труда признаются допустимыми. Если же вредные факторы обнаружены, комиссия принимает решение о проведении их измерений (исследований). </w:t>
      </w:r>
    </w:p>
    <w:p w:rsidR="00000000" w:rsidRDefault="00F265F0">
      <w:pPr>
        <w:spacing w:after="280" w:afterAutospacing="1"/>
      </w:pPr>
      <w:r>
        <w:t>Обратите внимание: процедура идентификации не предполагает проведения из</w:t>
      </w:r>
      <w:r>
        <w:t xml:space="preserve">мерений, но и не запрещает эксперту провести какие-либо выборочные измерения. При этом их результаты не войдут в отчет о проведении спецоценки. </w:t>
      </w:r>
    </w:p>
    <w:p w:rsidR="00000000" w:rsidRDefault="00F265F0">
      <w:pPr>
        <w:spacing w:after="280" w:afterAutospacing="1"/>
      </w:pPr>
      <w:r>
        <w:t>Поскольку оценка условий труда социального работника происходит в пределах офиса, то эксперт вправе обратить вн</w:t>
      </w:r>
      <w:r>
        <w:t xml:space="preserve">имание на общие параметры производственных факторов, характерные для офисных работников. В первую очередь это относится к световой среде. </w:t>
      </w:r>
    </w:p>
    <w:p w:rsidR="00000000" w:rsidRDefault="00F265F0"/>
    <w:p w:rsidR="00000000" w:rsidRDefault="00F265F0">
      <w:pPr>
        <w:pStyle w:val="2"/>
        <w:spacing w:after="280" w:afterAutospacing="1"/>
      </w:pPr>
      <w:r>
        <w:t>Как оцениваются отдель</w:t>
      </w:r>
      <w:r>
        <w:t>ные параметры производственной среды социальных работников</w:t>
      </w:r>
    </w:p>
    <w:p w:rsidR="00000000" w:rsidRDefault="00F265F0">
      <w:pPr>
        <w:spacing w:after="280" w:afterAutospacing="1"/>
      </w:pPr>
      <w:r>
        <w:rPr>
          <w:b/>
          <w:bCs/>
        </w:rPr>
        <w:t>Микроклимат.</w:t>
      </w:r>
      <w:r>
        <w:t xml:space="preserve"> Данный фактор идентифицируется как вредный и (или) опасный на рабочих местах, расположенных в закрытых производственных помещениях, на которых имеется технологическое оборудование, явл</w:t>
      </w:r>
      <w:r>
        <w:t>яющееся искусственным источником тепла и (или) холода. Кондиционеры и прочее оборудование, предназначенное не для технологического процесса, а для создания комфортных условий труда, не учитываются. То есть теперь в ходе спецоценки параметры микроклимата не</w:t>
      </w:r>
      <w:r>
        <w:t>обходимо измерять и оценивать только на сравнительно небольшом количестве специфичных рабочих мест, где есть оборудование, выделяющее тепло или холод (например, хладокомбинаты или горячие цеха и т. п.). В любых других производственных цехах, в офисах, скла</w:t>
      </w:r>
      <w:r>
        <w:t xml:space="preserve">дских помещениях, где нет вышеупомянутого оборудования, микроклимат оценивать </w:t>
      </w:r>
      <w:r>
        <w:rPr>
          <w:b/>
          <w:bCs/>
        </w:rPr>
        <w:t>не</w:t>
      </w:r>
      <w:r>
        <w:t> </w:t>
      </w:r>
      <w:r>
        <w:rPr>
          <w:b/>
          <w:bCs/>
        </w:rPr>
        <w:t>предполагается</w:t>
      </w:r>
      <w:r>
        <w:t xml:space="preserve">. </w:t>
      </w:r>
    </w:p>
    <w:p w:rsidR="00000000" w:rsidRDefault="00F265F0">
      <w:pPr>
        <w:spacing w:after="280" w:afterAutospacing="1"/>
      </w:pPr>
      <w:r>
        <w:rPr>
          <w:b/>
          <w:bCs/>
        </w:rPr>
        <w:lastRenderedPageBreak/>
        <w:t>Электромагнитные поля от ПЭВМ</w:t>
      </w:r>
      <w:r>
        <w:t xml:space="preserve"> теперь не идентифицируются как вредный и (или) опасный фактор и, соответственно, </w:t>
      </w:r>
      <w:r>
        <w:rPr>
          <w:b/>
          <w:bCs/>
        </w:rPr>
        <w:t>не</w:t>
      </w:r>
      <w:r>
        <w:t> </w:t>
      </w:r>
      <w:r>
        <w:rPr>
          <w:b/>
          <w:bCs/>
        </w:rPr>
        <w:t>измеряются</w:t>
      </w:r>
      <w:r>
        <w:t xml:space="preserve">. </w:t>
      </w:r>
    </w:p>
    <w:p w:rsidR="00000000" w:rsidRDefault="00F265F0">
      <w:pPr>
        <w:spacing w:after="280" w:afterAutospacing="1"/>
      </w:pPr>
      <w:r>
        <w:rPr>
          <w:b/>
          <w:bCs/>
        </w:rPr>
        <w:t>Ионизирующие излучения</w:t>
      </w:r>
      <w:r>
        <w:t xml:space="preserve"> нужно из</w:t>
      </w:r>
      <w:r>
        <w:t>мерять и оценивать только на рабочих местах, на которых происходит добыча, обогащение, производство и использование в технологическом процессе радиоактивных веществ и изотопов. Оно также измеряется, если в эксплуатации есть оборудование, создающее ионизиру</w:t>
      </w:r>
      <w:r>
        <w:t xml:space="preserve">ющее излучение. То есть в офисных помещениях указанный параметр экспертом приниматься во внимание </w:t>
      </w:r>
      <w:r>
        <w:rPr>
          <w:b/>
          <w:bCs/>
        </w:rPr>
        <w:t>не</w:t>
      </w:r>
      <w:r>
        <w:t> </w:t>
      </w:r>
      <w:r>
        <w:rPr>
          <w:b/>
          <w:bCs/>
        </w:rPr>
        <w:t>будет</w:t>
      </w:r>
      <w:r>
        <w:t xml:space="preserve">. </w:t>
      </w:r>
    </w:p>
    <w:p w:rsidR="00000000" w:rsidRDefault="00F265F0">
      <w:pPr>
        <w:spacing w:after="280" w:afterAutospacing="1"/>
      </w:pPr>
      <w:r>
        <w:rPr>
          <w:b/>
          <w:bCs/>
        </w:rPr>
        <w:t>Тяжесть трудового процесса</w:t>
      </w:r>
      <w:r>
        <w:t xml:space="preserve"> измеряется и оценивается на рабочих местах, на которых сотрудники выполняют работы по поднятию и переноске грузов вручну</w:t>
      </w:r>
      <w:r>
        <w:t xml:space="preserve">ю, работы в вынужденном положении или положении «стоя», при перемещении в пространстве. Впрочем, эксперт вправе по своему усмотрению провести оценку данного фактора. </w:t>
      </w:r>
    </w:p>
    <w:p w:rsidR="00000000" w:rsidRDefault="00F265F0">
      <w:pPr>
        <w:spacing w:after="280" w:afterAutospacing="1"/>
      </w:pPr>
      <w:r>
        <w:rPr>
          <w:b/>
          <w:bCs/>
        </w:rPr>
        <w:t>Напряженность трудового процесса</w:t>
      </w:r>
      <w:r>
        <w:t xml:space="preserve"> измеряется и оценивается при выполнении работ по диспетч</w:t>
      </w:r>
      <w:r>
        <w:t xml:space="preserve">еризации производственных процессов, производственных процессов конвейерного типа, на рабочих местах операторов технологического (производственного) оборудования, при управлении транспортными средствами. </w:t>
      </w:r>
    </w:p>
    <w:p w:rsidR="00000000" w:rsidRDefault="00F265F0">
      <w:pPr>
        <w:pStyle w:val="2"/>
        <w:spacing w:after="280" w:afterAutospacing="1"/>
      </w:pPr>
      <w:r>
        <w:t>Что учесть при оформлении результатов спецоценки ус</w:t>
      </w:r>
      <w:r>
        <w:t>ловий труда социальных работников</w:t>
      </w:r>
    </w:p>
    <w:p w:rsidR="00000000" w:rsidRDefault="00F265F0">
      <w:pPr>
        <w:spacing w:after="280" w:afterAutospacing="1"/>
      </w:pPr>
      <w:r>
        <w:t>По итогам проведения специальной оценки эксперт устанавливает класс (подкласс) условий труда на этих рабочих местах. Впоследствии они могут быть конвертированы работодателем в гарантии (компенсации) за работу во вредных (о</w:t>
      </w:r>
      <w:r>
        <w:t xml:space="preserve">пасных) условиях труда, которые установлены статьями </w:t>
      </w:r>
      <w:r>
        <w:rPr>
          <w:rStyle w:val="Spanlink"/>
          <w:u w:val="single"/>
        </w:rPr>
        <w:t>92</w:t>
      </w:r>
      <w:r>
        <w:t xml:space="preserve">, </w:t>
      </w:r>
      <w:r>
        <w:rPr>
          <w:rStyle w:val="Spanlink"/>
          <w:u w:val="single"/>
        </w:rPr>
        <w:t>117</w:t>
      </w:r>
      <w:r>
        <w:t xml:space="preserve"> и </w:t>
      </w:r>
      <w:r>
        <w:rPr>
          <w:rStyle w:val="Spanlink"/>
          <w:u w:val="single"/>
        </w:rPr>
        <w:t>147</w:t>
      </w:r>
      <w:r>
        <w:t xml:space="preserve"> Трудового кодекса. </w:t>
      </w:r>
    </w:p>
    <w:p w:rsidR="00000000" w:rsidRDefault="00F265F0">
      <w:pPr>
        <w:spacing w:after="280" w:afterAutospacing="1"/>
      </w:pPr>
      <w:r>
        <w:t xml:space="preserve">Следует учесть, что в отношении работников социальной сферы фактическая оценка по совокупности исследуемых производственных факторов будет минимальной. </w:t>
      </w:r>
    </w:p>
    <w:p w:rsidR="00000000" w:rsidRDefault="00F265F0">
      <w:pPr>
        <w:spacing w:after="280" w:afterAutospacing="1"/>
      </w:pPr>
      <w:r>
        <w:t>Потенциальная см</w:t>
      </w:r>
      <w:r>
        <w:t xml:space="preserve">ена обслуживаемых лиц (в том числе адресов их проживания) не является поводом к проведению специальной оценки повторно. Внеплановая </w:t>
      </w:r>
      <w:r>
        <w:lastRenderedPageBreak/>
        <w:t xml:space="preserve">спецоценка проводится работодателем в течение шести месяцев с момента наступления следующих событий: </w:t>
      </w:r>
    </w:p>
    <w:p w:rsidR="00000000" w:rsidRDefault="00F265F0">
      <w:pPr>
        <w:pStyle w:val="Ul"/>
        <w:numPr>
          <w:ilvl w:val="0"/>
          <w:numId w:val="4"/>
        </w:numPr>
      </w:pPr>
      <w:r>
        <w:t>ввод в эксплуатацию вн</w:t>
      </w:r>
      <w:r>
        <w:t>овь организованных рабочих мест;</w:t>
      </w:r>
    </w:p>
    <w:p w:rsidR="00000000" w:rsidRDefault="00F265F0">
      <w:pPr>
        <w:pStyle w:val="Ul"/>
        <w:numPr>
          <w:ilvl w:val="0"/>
          <w:numId w:val="4"/>
        </w:numPr>
      </w:pPr>
      <w:r>
        <w:t xml:space="preserve">получение работодателем предписания государственного инспектора труда о проведении внеплановой спецоценки в связи с выявленными нарушениями трудового законодательства; </w:t>
      </w:r>
    </w:p>
    <w:p w:rsidR="00000000" w:rsidRDefault="00F265F0">
      <w:pPr>
        <w:pStyle w:val="Ul"/>
        <w:numPr>
          <w:ilvl w:val="0"/>
          <w:numId w:val="4"/>
        </w:numPr>
      </w:pPr>
      <w:r>
        <w:t>изменение технологического процесса, замена производст</w:t>
      </w:r>
      <w:r>
        <w:t xml:space="preserve">венного оборудования, которые способны оказать влияние на уровень воздействия вредных и (или) опасных производственных факторов на работников; </w:t>
      </w:r>
    </w:p>
    <w:p w:rsidR="00000000" w:rsidRDefault="00F265F0">
      <w:pPr>
        <w:pStyle w:val="Ul"/>
        <w:numPr>
          <w:ilvl w:val="0"/>
          <w:numId w:val="4"/>
        </w:numPr>
      </w:pPr>
      <w:r>
        <w:t>изменение состава применяемых материалов и (или) сырья, способных оказать влияние на уровень воздействия вредных</w:t>
      </w:r>
      <w:r>
        <w:t xml:space="preserve"> и (или) опасных производственных факторов на работников; </w:t>
      </w:r>
    </w:p>
    <w:p w:rsidR="00000000" w:rsidRDefault="00F265F0">
      <w:pPr>
        <w:pStyle w:val="Ul"/>
        <w:numPr>
          <w:ilvl w:val="0"/>
          <w:numId w:val="4"/>
        </w:numPr>
      </w:pPr>
      <w:r>
        <w:t xml:space="preserve">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 </w:t>
      </w:r>
    </w:p>
    <w:p w:rsidR="00000000" w:rsidRDefault="00F265F0">
      <w:pPr>
        <w:pStyle w:val="Ul"/>
        <w:numPr>
          <w:ilvl w:val="0"/>
          <w:numId w:val="4"/>
        </w:numPr>
      </w:pPr>
      <w:r>
        <w:t>произошедший н</w:t>
      </w:r>
      <w:r>
        <w:t>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w:t>
      </w:r>
      <w:r>
        <w:t xml:space="preserve"> производственных факторов; </w:t>
      </w:r>
    </w:p>
    <w:p w:rsidR="00000000" w:rsidRDefault="00F265F0">
      <w:pPr>
        <w:pStyle w:val="Ul"/>
        <w:numPr>
          <w:ilvl w:val="0"/>
          <w:numId w:val="4"/>
        </w:numPr>
        <w:spacing w:after="280" w:afterAutospacing="1"/>
      </w:pPr>
      <w:r>
        <w:t>наличие мотивированных предложений профсоюзов о проведении внеплановой спецоценки.</w:t>
      </w:r>
    </w:p>
    <w:p w:rsidR="00000000" w:rsidRDefault="00F265F0">
      <w:pPr>
        <w:pStyle w:val="2"/>
        <w:spacing w:after="280" w:afterAutospacing="1"/>
      </w:pPr>
      <w:r>
        <w:t>Ответы на ваши вопросы</w:t>
      </w:r>
    </w:p>
    <w:p w:rsidR="00000000" w:rsidRDefault="00F265F0">
      <w:pPr>
        <w:spacing w:after="280" w:afterAutospacing="1"/>
      </w:pPr>
      <w:r>
        <w:rPr>
          <w:b/>
          <w:bCs/>
        </w:rPr>
        <w:t>Можно ли отменить дополнительный отпуск по результатам аттестации рабочих мест?</w:t>
      </w:r>
    </w:p>
    <w:p w:rsidR="00000000" w:rsidRDefault="00F265F0">
      <w:pPr>
        <w:spacing w:after="280" w:afterAutospacing="1"/>
      </w:pPr>
      <w:r>
        <w:rPr>
          <w:i/>
          <w:iCs/>
        </w:rPr>
        <w:t>На нашем предприятии в 2013 г. была прове</w:t>
      </w:r>
      <w:r>
        <w:rPr>
          <w:i/>
          <w:iCs/>
        </w:rPr>
        <w:t>дена аттестация рабочих мест. По ее результатам лаборантам химического анализа с классом условий 2.0 дополнительный отпуск за вредные условия труда был отменен. Но отдел экономики и охраны труда продолжал предоставлять им дополнительные 12 дней отпуска. Се</w:t>
      </w:r>
      <w:r>
        <w:rPr>
          <w:i/>
          <w:iCs/>
        </w:rPr>
        <w:t>йчас, внимательно изучив результаты карт аттестации, мы хотим прекратить давать им дополнительный отпуск. Если нас проверит трудовая инспекция, что нам может грозить?</w:t>
      </w:r>
      <w:r>
        <w:br/>
      </w:r>
      <w:r>
        <w:rPr>
          <w:i/>
          <w:iCs/>
        </w:rPr>
        <w:t>Инзира СИТНОВА (Когалым, ХМАО)</w:t>
      </w:r>
    </w:p>
    <w:p w:rsidR="00000000" w:rsidRDefault="00F265F0">
      <w:pPr>
        <w:spacing w:after="280" w:afterAutospacing="1"/>
      </w:pPr>
      <w:r>
        <w:t>Если по результатам аттестации рабочих мест по условиям тр</w:t>
      </w:r>
      <w:r>
        <w:t xml:space="preserve">уда сотрудникам дополнительный отпуск не полагается, работодатель не вправе его предоставлять в качестве компенсации за работу во вредных условиях труда. Но допотпуск может </w:t>
      </w:r>
      <w:r>
        <w:lastRenderedPageBreak/>
        <w:t>быть установлен коллективным договором или другим локальным нормативным актом. Разн</w:t>
      </w:r>
      <w:r>
        <w:t xml:space="preserve">ица в том, что, предоставляя дополнительный отпуск по результатам аттестации или спецоценки, можно уменьшить налогооблагаемую базу. Если же отпуск предоставляется на основании локального нормативного акта работодателя – уменьшать налоговую базу нельзя. </w:t>
      </w:r>
    </w:p>
    <w:p w:rsidR="00000000" w:rsidRDefault="00F265F0">
      <w:pPr>
        <w:spacing w:after="280" w:afterAutospacing="1"/>
      </w:pPr>
      <w:r>
        <w:t xml:space="preserve">В </w:t>
      </w:r>
      <w:r>
        <w:t>вашей ситуации у трудовой инспекции будут вопросы о правомерности предоставления отпуска, и, возможно, работодатель будет оштрафован по </w:t>
      </w:r>
      <w:r>
        <w:rPr>
          <w:u w:val="single"/>
        </w:rPr>
        <w:t>статье 5.27</w:t>
      </w:r>
      <w:r>
        <w:t xml:space="preserve"> Кодекса об административных правонарушениях. Больше вопросов возникнет у налоговой службы. Вам необходимо пр</w:t>
      </w:r>
      <w:r>
        <w:t xml:space="preserve">оверить, каким образом работодатель исчислял налоговую базу. </w:t>
      </w:r>
    </w:p>
    <w:p w:rsidR="00000000" w:rsidRDefault="00F265F0">
      <w:pPr>
        <w:spacing w:after="280" w:afterAutospacing="1"/>
      </w:pPr>
      <w:r>
        <w:rPr>
          <w:b/>
          <w:bCs/>
        </w:rPr>
        <w:t>Нужно ли обучать охране труда сотрудников салона красоты?</w:t>
      </w:r>
    </w:p>
    <w:p w:rsidR="00000000" w:rsidRDefault="00F265F0">
      <w:pPr>
        <w:spacing w:after="280" w:afterAutospacing="1"/>
      </w:pPr>
      <w:r>
        <w:rPr>
          <w:i/>
          <w:iCs/>
        </w:rPr>
        <w:t>Нужно ли проводить обучение и проверку знаний по охране труда в салоне красоты и какой комиссией? В штате организации пять человек, из н</w:t>
      </w:r>
      <w:r>
        <w:rPr>
          <w:i/>
          <w:iCs/>
        </w:rPr>
        <w:t>их обучение по охране труда прошла только директор.</w:t>
      </w:r>
      <w:r>
        <w:br/>
      </w:r>
      <w:r>
        <w:rPr>
          <w:i/>
          <w:iCs/>
        </w:rPr>
        <w:t>Кузнецов Сергей (Пенза)</w:t>
      </w:r>
    </w:p>
    <w:p w:rsidR="00000000" w:rsidRDefault="00F265F0">
      <w:pPr>
        <w:spacing w:after="280" w:afterAutospacing="1"/>
      </w:pPr>
      <w:r>
        <w:t>Все работодатели обязаны обучать своих сотрудников правилам охраны труда. Сделать это следует как в аккредитованном учебном центре, так и силами работодателя. В последнем случае ну</w:t>
      </w:r>
      <w:r>
        <w:t xml:space="preserve">жно создать комиссию в составе не менее трех человек. При этом все члены комиссии должны пройти обучение по охране труда в обучающей организации. </w:t>
      </w:r>
    </w:p>
    <w:p w:rsidR="00000000" w:rsidRDefault="00F265F0">
      <w:pPr>
        <w:spacing w:after="280" w:afterAutospacing="1"/>
      </w:pPr>
      <w:r>
        <w:rPr>
          <w:b/>
          <w:bCs/>
        </w:rPr>
        <w:t>Являются ли такие рабочие места аналогичными?</w:t>
      </w:r>
    </w:p>
    <w:p w:rsidR="00000000" w:rsidRDefault="00F265F0">
      <w:pPr>
        <w:spacing w:after="280" w:afterAutospacing="1"/>
      </w:pPr>
      <w:r>
        <w:rPr>
          <w:i/>
          <w:iCs/>
        </w:rPr>
        <w:t xml:space="preserve">Предприятие имеет несколько торговых точек. Работники занимают </w:t>
      </w:r>
      <w:r>
        <w:rPr>
          <w:i/>
          <w:iCs/>
        </w:rPr>
        <w:t>одинаковые должности. В магазинах одинаковые: кондиционеры, системы отопления, освещения и т. п. Будут ли в данном случае рабочие места в торговых точках рассматриваться как аналогичные для проведения спецоценки?</w:t>
      </w:r>
      <w:r>
        <w:br/>
      </w:r>
      <w:r>
        <w:rPr>
          <w:i/>
          <w:iCs/>
        </w:rPr>
        <w:t>Татьяна КОРОВЯКОВСКАЯ (Череповец)</w:t>
      </w:r>
    </w:p>
    <w:p w:rsidR="00000000" w:rsidRDefault="00F265F0">
      <w:pPr>
        <w:spacing w:after="280" w:afterAutospacing="1"/>
      </w:pPr>
      <w:r>
        <w:t>Чтобы при</w:t>
      </w:r>
      <w:r>
        <w:t>знать рабочие места аналогичными, необходимо, чтобы ко всему перечисленному было однотипное оборудование, которое должно быть расположено одинаково на всех рабочих местах всех объектов, и однотипные помещения. Наиболее спорный вопрос возникает в данном слу</w:t>
      </w:r>
      <w:r>
        <w:t xml:space="preserve">чае по одинаковому расположению оборудования и однотипности помещений. Если данные требования будут выполнены, то такие рабочие места можно признать аналогичными. </w:t>
      </w:r>
    </w:p>
    <w:p w:rsidR="00000000" w:rsidRDefault="00F265F0">
      <w:pPr>
        <w:pStyle w:val="2"/>
        <w:spacing w:after="280" w:afterAutospacing="1"/>
      </w:pPr>
      <w:r>
        <w:lastRenderedPageBreak/>
        <w:t xml:space="preserve">Самые необходимые нормативные акты </w:t>
      </w:r>
    </w:p>
    <w:tbl>
      <w:tblPr>
        <w:tblW w:w="5000" w:type="pct"/>
        <w:tblCellMar>
          <w:top w:w="45" w:type="dxa"/>
          <w:left w:w="45" w:type="dxa"/>
          <w:bottom w:w="45" w:type="dxa"/>
          <w:right w:w="45" w:type="dxa"/>
        </w:tblCellMar>
        <w:tblLook w:val="04A0"/>
      </w:tblPr>
      <w:tblGrid>
        <w:gridCol w:w="4216"/>
        <w:gridCol w:w="4514"/>
      </w:tblGrid>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F265F0">
            <w:r>
              <w:rPr>
                <w:b/>
                <w:bCs/>
              </w:rPr>
              <w:t>Документ</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F265F0">
            <w:r>
              <w:rPr>
                <w:b/>
                <w:bCs/>
              </w:rPr>
              <w:t>Поможет вам</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F265F0">
            <w:r>
              <w:rPr>
                <w:rStyle w:val="Spanlink"/>
                <w:u w:val="single"/>
              </w:rPr>
              <w:t>Статья 3</w:t>
            </w:r>
            <w:r>
              <w:t xml:space="preserve"> Федерального закона от 28 декабря 2013 г. № 426-ФЗ «О специальной оценке условий труда» </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F265F0">
            <w:r>
              <w:t>Выяснить, на рабочих местах каких работников не нужно проводить спецоценку</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F265F0">
            <w:r>
              <w:rPr>
                <w:rStyle w:val="Spanlink"/>
                <w:u w:val="single"/>
              </w:rPr>
              <w:t>Статья 16</w:t>
            </w:r>
            <w:r>
              <w:t xml:space="preserve"> </w:t>
            </w:r>
            <w:r>
              <w:t xml:space="preserve">Федерального закона от 28 декабря 2013 г. № 426-ФЗ «О специальной оценке условий труда» </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F265F0">
            <w:r>
              <w:t>Узнать, как проводится спецоценка на рабочих местах с территориально меняющимися зонами</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F265F0">
            <w:r>
              <w:rPr>
                <w:rStyle w:val="Spanlink"/>
                <w:u w:val="single"/>
              </w:rPr>
              <w:t>Приказ Минтруда России от 24 января 2014 г. № 33н</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F265F0">
            <w:r>
              <w:t xml:space="preserve">Уточнить, по какой методике </w:t>
            </w:r>
            <w:r>
              <w:t>проводится спецоценка</w:t>
            </w:r>
          </w:p>
        </w:tc>
      </w:tr>
      <w:tr w:rsidR="00000000">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F265F0">
            <w:r>
              <w:rPr>
                <w:rStyle w:val="Spanlink"/>
                <w:u w:val="single"/>
              </w:rPr>
              <w:t>Постановление Правительства РФ от 14 апреля 2014 г. № 290</w:t>
            </w:r>
          </w:p>
        </w:tc>
        <w:tc>
          <w:tcPr>
            <w:tcW w:w="0" w:type="auto"/>
            <w:tcBorders>
              <w:top w:val="single" w:sz="6" w:space="0" w:color="000000"/>
              <w:left w:val="single" w:sz="6" w:space="0" w:color="FFFFFF"/>
              <w:bottom w:val="single" w:sz="6" w:space="0" w:color="000000"/>
              <w:right w:val="single" w:sz="6" w:space="0" w:color="FFFFFF"/>
            </w:tcBorders>
            <w:vAlign w:val="center"/>
          </w:tcPr>
          <w:p w:rsidR="00000000" w:rsidRDefault="00F265F0">
            <w:r>
              <w:t xml:space="preserve">Понять, в отношении каких рабочих мест спецоценка проводится с учетом особенностей вида деятельности </w:t>
            </w:r>
          </w:p>
        </w:tc>
      </w:tr>
    </w:tbl>
    <w:p w:rsidR="00000000" w:rsidRDefault="00F265F0"/>
    <w:tbl>
      <w:tblPr>
        <w:tblW w:w="5000" w:type="pct"/>
        <w:tblInd w:w="795" w:type="dxa"/>
        <w:tblCellMar>
          <w:left w:w="0" w:type="dxa"/>
          <w:right w:w="0" w:type="dxa"/>
        </w:tblCellMar>
        <w:tblLook w:val="04A0"/>
      </w:tblPr>
      <w:tblGrid>
        <w:gridCol w:w="9780"/>
      </w:tblGrid>
      <w:tr w:rsidR="00000000">
        <w:tc>
          <w:tcPr>
            <w:tcW w:w="0" w:type="auto"/>
            <w:tcBorders>
              <w:top w:val="single" w:sz="6" w:space="0" w:color="A166C1"/>
              <w:left w:val="single" w:sz="6" w:space="0" w:color="A166C1"/>
              <w:bottom w:val="single" w:sz="6" w:space="0" w:color="A166C1"/>
              <w:right w:val="single" w:sz="6" w:space="0" w:color="A166C1"/>
            </w:tcBorders>
            <w:tcMar>
              <w:top w:w="315" w:type="dxa"/>
              <w:left w:w="795" w:type="dxa"/>
              <w:bottom w:w="0" w:type="dxa"/>
              <w:right w:w="345" w:type="dxa"/>
            </w:tcMar>
            <w:vAlign w:val="center"/>
          </w:tcPr>
          <w:p w:rsidR="00000000" w:rsidRDefault="00F265F0">
            <w:pPr>
              <w:pStyle w:val="cbody-h3"/>
              <w:spacing w:after="280" w:afterAutospacing="1"/>
            </w:pPr>
            <w:r>
              <w:t>Запомните главное</w:t>
            </w:r>
          </w:p>
          <w:p w:rsidR="00000000" w:rsidRDefault="00F265F0">
            <w:pPr>
              <w:pStyle w:val="cbody-p"/>
              <w:spacing w:after="280" w:afterAutospacing="1"/>
            </w:pPr>
            <w:r>
              <w:rPr>
                <w:rStyle w:val="Bcbody-b"/>
                <w:b/>
                <w:bCs/>
              </w:rPr>
              <w:t>1</w:t>
            </w:r>
            <w:r>
              <w:t xml:space="preserve"> Необходимо проводить спецоценку условий труда социа</w:t>
            </w:r>
            <w:r>
              <w:t xml:space="preserve">льных работников, ухаживающих за опекаемыми гражданами на дому. </w:t>
            </w:r>
          </w:p>
          <w:p w:rsidR="00000000" w:rsidRDefault="00F265F0">
            <w:pPr>
              <w:pStyle w:val="cbody-p"/>
              <w:spacing w:after="280" w:afterAutospacing="1"/>
            </w:pPr>
            <w:r>
              <w:rPr>
                <w:rStyle w:val="Bcbody-b"/>
                <w:b/>
                <w:bCs/>
              </w:rPr>
              <w:t>2</w:t>
            </w:r>
            <w:r>
              <w:t xml:space="preserve"> Спецоценка условий труда социальных работников, ухаживающих за гражданами на дому, проводится по правилам, предусмотренным для рабочих мест с территориально меняющимися рабочими зонами. </w:t>
            </w:r>
          </w:p>
          <w:p w:rsidR="00000000" w:rsidRDefault="00F265F0">
            <w:pPr>
              <w:pStyle w:val="cbody-p"/>
              <w:spacing w:after="280" w:afterAutospacing="1"/>
            </w:pPr>
            <w:r>
              <w:rPr>
                <w:rStyle w:val="Bcbody-b"/>
                <w:b/>
                <w:bCs/>
              </w:rPr>
              <w:t>3</w:t>
            </w:r>
            <w:r>
              <w:t xml:space="preserve"> </w:t>
            </w:r>
            <w:r>
              <w:t xml:space="preserve">Идентификация вредных и опасных факторов, хронометраж проводится только в помещении социальной службы. </w:t>
            </w:r>
          </w:p>
          <w:p w:rsidR="00000000" w:rsidRDefault="00F265F0">
            <w:pPr>
              <w:pStyle w:val="cbody-p"/>
            </w:pPr>
            <w:r>
              <w:rPr>
                <w:rStyle w:val="Bcbody-b"/>
                <w:b/>
                <w:bCs/>
              </w:rPr>
              <w:t>4</w:t>
            </w:r>
            <w:r>
              <w:t xml:space="preserve"> Поскольку оценка условий труда социального работника происходит в пределах офиса, то эксперт вправе обратить внимание на общие параметры производствен</w:t>
            </w:r>
            <w:r>
              <w:t xml:space="preserve">ных факторов, характерные для офисных работников. В первую </w:t>
            </w:r>
            <w:r>
              <w:lastRenderedPageBreak/>
              <w:t xml:space="preserve">очередь это относится к световой среде. </w:t>
            </w:r>
          </w:p>
        </w:tc>
      </w:tr>
    </w:tbl>
    <w:p w:rsidR="00000000" w:rsidRDefault="00F265F0">
      <w:pPr>
        <w:pStyle w:val="footnote"/>
        <w:spacing w:after="280" w:afterAutospacing="1"/>
      </w:pPr>
      <w:r>
        <w:rPr>
          <w:rStyle w:val="Spanlink"/>
          <w:u w:val="single"/>
          <w:vertAlign w:val="superscript"/>
        </w:rPr>
        <w:lastRenderedPageBreak/>
        <w:t>1</w:t>
      </w:r>
      <w:r>
        <w:rPr>
          <w:rStyle w:val="Spanlink"/>
          <w:u w:val="single"/>
        </w:rPr>
        <w:t>Статья 3</w:t>
      </w:r>
      <w:r>
        <w:t> Федерального закона от 28 декабря 2013 г. № 426-ФЗ «О специальной оценке условий труда».</w:t>
      </w:r>
      <w:r>
        <w:br/>
      </w:r>
      <w:r>
        <w:rPr>
          <w:rStyle w:val="Spanlink"/>
          <w:u w:val="single"/>
          <w:vertAlign w:val="superscript"/>
        </w:rPr>
        <w:t>2</w:t>
      </w:r>
      <w:r>
        <w:t>Перечень рабочих мест в организациях, осуществляющих от</w:t>
      </w:r>
      <w:r>
        <w:t>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(утвержден </w:t>
      </w:r>
      <w:r>
        <w:rPr>
          <w:rStyle w:val="Spanlink"/>
          <w:u w:val="single"/>
        </w:rPr>
        <w:t>постановлением Правительства РФ от 14 апреля 2014 г. № 290</w:t>
      </w:r>
      <w:r>
        <w:t>)</w:t>
      </w:r>
      <w:r>
        <w:t>.</w:t>
      </w:r>
      <w:r>
        <w:br/>
      </w:r>
      <w:r>
        <w:rPr>
          <w:rStyle w:val="Spanlink"/>
          <w:u w:val="single"/>
          <w:vertAlign w:val="superscript"/>
        </w:rPr>
        <w:t>3</w:t>
      </w:r>
      <w:r>
        <w:rPr>
          <w:rStyle w:val="Spanlink"/>
          <w:u w:val="single"/>
        </w:rPr>
        <w:t>Статья 16</w:t>
      </w:r>
      <w:r>
        <w:t> Федерального закона от 28 декабря 2013 г. № 426-ФЗ «О специальной оценке условий труда».</w:t>
      </w:r>
      <w:r>
        <w:br/>
      </w:r>
      <w:r>
        <w:rPr>
          <w:rStyle w:val="Spanlink"/>
          <w:u w:val="single"/>
          <w:vertAlign w:val="superscript"/>
        </w:rPr>
        <w:t>4</w:t>
      </w:r>
      <w:r>
        <w:rPr>
          <w:rStyle w:val="Spanlink"/>
          <w:u w:val="single"/>
        </w:rPr>
        <w:t>Часть 2</w:t>
      </w:r>
      <w:r>
        <w:t> ст. 10 Федерального закона от 28 декабря 2013 г. № 426-ФЗ «О специальной оценке условий труда».</w:t>
      </w:r>
      <w:r>
        <w:br/>
      </w:r>
      <w:r>
        <w:rPr>
          <w:rStyle w:val="Spanlink"/>
          <w:u w:val="single"/>
          <w:vertAlign w:val="superscript"/>
        </w:rPr>
        <w:t>5</w:t>
      </w:r>
      <w:r>
        <w:t>Утверждена </w:t>
      </w:r>
      <w:r>
        <w:rPr>
          <w:rStyle w:val="Spanlink"/>
          <w:u w:val="single"/>
        </w:rPr>
        <w:t>приказом Минтруда России от 24 января</w:t>
      </w:r>
      <w:r>
        <w:rPr>
          <w:rStyle w:val="Spanlink"/>
          <w:u w:val="single"/>
        </w:rPr>
        <w:t xml:space="preserve"> 2014 г. № 33н</w:t>
      </w:r>
      <w:r>
        <w:t xml:space="preserve">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w:t>
      </w:r>
    </w:p>
    <w:p w:rsidR="00F265F0" w:rsidRDefault="00F265F0">
      <w:pPr>
        <w:spacing w:after="280" w:afterAutospacing="1"/>
      </w:pPr>
      <w:r>
        <w:br/>
        <w:t xml:space="preserve">  </w:t>
      </w:r>
    </w:p>
    <w:sectPr w:rsidR="00F265F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noPunctuationKerning/>
  <w:characterSpacingControl w:val="doNotCompress"/>
  <w:compat/>
  <w:rsids>
    <w:rsidRoot w:val="00A77B3E"/>
    <w:rsid w:val="00F265F0"/>
    <w:rsid w:val="00FC6953"/>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00" w:lineRule="atLeast"/>
    </w:pPr>
    <w:rPr>
      <w:rFonts w:ascii="Georgia" w:eastAsia="Georgia" w:hAnsi="Georgia" w:cs="Georgia"/>
      <w:color w:val="000000"/>
      <w:sz w:val="22"/>
      <w:szCs w:val="22"/>
    </w:rPr>
  </w:style>
  <w:style w:type="paragraph" w:styleId="2">
    <w:name w:val="heading 2"/>
    <w:basedOn w:val="a"/>
    <w:next w:val="a"/>
    <w:qFormat/>
    <w:rsid w:val="00EF7B96"/>
    <w:pPr>
      <w:keepNext/>
      <w:spacing w:before="555" w:after="330" w:line="580" w:lineRule="atLeast"/>
      <w:outlineLvl w:val="1"/>
    </w:pPr>
    <w:rPr>
      <w:rFonts w:ascii="Arial" w:eastAsia="Arial" w:hAnsi="Arial" w:cs="Arial"/>
      <w:b/>
      <w:bCs/>
      <w:sz w:val="38"/>
      <w:szCs w:val="38"/>
    </w:rPr>
  </w:style>
  <w:style w:type="paragraph" w:styleId="3">
    <w:name w:val="heading 3"/>
    <w:basedOn w:val="a"/>
    <w:next w:val="a"/>
    <w:qFormat/>
    <w:rsid w:val="00EF7B96"/>
    <w:pPr>
      <w:keepNext/>
      <w:spacing w:before="240" w:after="60"/>
      <w:outlineLvl w:val="2"/>
    </w:pPr>
    <w:rPr>
      <w:rFonts w:ascii="Arial" w:eastAsia="Arial" w:hAnsi="Arial" w:cs="Arial"/>
      <w:b/>
      <w:bCs/>
      <w:sz w:val="30"/>
      <w:szCs w:val="30"/>
    </w:rPr>
  </w:style>
  <w:style w:type="paragraph" w:styleId="4">
    <w:name w:val="heading 4"/>
    <w:basedOn w:val="a"/>
    <w:next w:val="a"/>
    <w:qFormat/>
    <w:rsid w:val="00EF7B96"/>
    <w:pPr>
      <w:keepNext/>
      <w:spacing w:before="240" w:after="60"/>
      <w:outlineLvl w:val="3"/>
    </w:pPr>
    <w:rPr>
      <w:i/>
      <w:iCs/>
    </w:rPr>
  </w:style>
  <w:style w:type="paragraph" w:styleId="5">
    <w:name w:val="heading 5"/>
    <w:basedOn w:val="a"/>
    <w:next w:val="a"/>
    <w:qFormat/>
    <w:rsid w:val="00EF7B96"/>
    <w:pPr>
      <w:spacing w:before="75" w:after="105" w:line="270" w:lineRule="atLeast"/>
      <w:outlineLvl w:val="4"/>
    </w:pPr>
    <w:rPr>
      <w:b/>
      <w:bCs/>
      <w:sz w:val="18"/>
      <w:szCs w:val="18"/>
    </w:rPr>
  </w:style>
  <w:style w:type="paragraph" w:styleId="6">
    <w:name w:val="heading 6"/>
    <w:basedOn w:val="a"/>
    <w:next w:val="a"/>
    <w:qFormat/>
    <w:rsid w:val="00EF7B96"/>
    <w:pPr>
      <w:spacing w:before="555" w:after="300" w:line="380" w:lineRule="atLeast"/>
      <w:outlineLvl w:val="5"/>
    </w:pPr>
    <w:rPr>
      <w:rFonts w:ascii="Arial" w:eastAsia="Arial" w:hAnsi="Arial" w:cs="Arial"/>
      <w:b/>
      <w:bCs/>
      <w:sz w:val="38"/>
      <w:szCs w:val="3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ed">
    <w:name w:val="red"/>
    <w:basedOn w:val="a"/>
    <w:rPr>
      <w:color w:val="ED145B"/>
    </w:rPr>
  </w:style>
  <w:style w:type="paragraph" w:customStyle="1" w:styleId="letter">
    <w:name w:val="letter"/>
    <w:basedOn w:val="a"/>
  </w:style>
  <w:style w:type="paragraph" w:customStyle="1" w:styleId="quiz-title">
    <w:name w:val="quiz-title"/>
    <w:basedOn w:val="a"/>
    <w:pPr>
      <w:shd w:val="clear" w:color="auto" w:fill="000000"/>
    </w:pPr>
    <w:rPr>
      <w:color w:val="FFFFFF"/>
      <w:shd w:val="clear" w:color="auto" w:fill="000000"/>
    </w:rPr>
  </w:style>
  <w:style w:type="paragraph" w:customStyle="1" w:styleId="footlink">
    <w:name w:val="footlink"/>
    <w:basedOn w:val="a"/>
  </w:style>
  <w:style w:type="paragraph" w:customStyle="1" w:styleId="table-td">
    <w:name w:val="table-td"/>
    <w:basedOn w:val="a"/>
    <w:pPr>
      <w:spacing w:line="270" w:lineRule="atLeast"/>
    </w:pPr>
    <w:rPr>
      <w:rFonts w:ascii="Arial" w:eastAsia="Arial" w:hAnsi="Arial" w:cs="Arial"/>
    </w:rPr>
  </w:style>
  <w:style w:type="paragraph" w:customStyle="1" w:styleId="newsmaker-header">
    <w:name w:val="newsmaker-header"/>
    <w:basedOn w:val="a"/>
  </w:style>
  <w:style w:type="paragraph" w:customStyle="1" w:styleId="quiz2-question-p">
    <w:name w:val="quiz2-question-p"/>
    <w:basedOn w:val="a"/>
    <w:rPr>
      <w:rFonts w:ascii="Arial" w:eastAsia="Arial" w:hAnsi="Arial" w:cs="Arial"/>
      <w:color w:val="403D32"/>
    </w:rPr>
  </w:style>
  <w:style w:type="paragraph" w:customStyle="1" w:styleId="example-h-b">
    <w:name w:val="example-h-b"/>
    <w:basedOn w:val="a"/>
    <w:pPr>
      <w:spacing w:line="270" w:lineRule="atLeast"/>
    </w:pPr>
    <w:rPr>
      <w:rFonts w:ascii="Arial" w:eastAsia="Arial" w:hAnsi="Arial" w:cs="Arial"/>
      <w:caps/>
      <w:sz w:val="18"/>
      <w:szCs w:val="18"/>
    </w:rPr>
  </w:style>
  <w:style w:type="paragraph" w:customStyle="1" w:styleId="foottext">
    <w:name w:val="foottext"/>
    <w:basedOn w:val="a"/>
  </w:style>
  <w:style w:type="paragraph" w:customStyle="1" w:styleId="sticker-p">
    <w:name w:val="sticker-p"/>
    <w:basedOn w:val="a"/>
    <w:pPr>
      <w:spacing w:line="270" w:lineRule="atLeast"/>
    </w:pPr>
    <w:rPr>
      <w:rFonts w:ascii="Arial" w:eastAsia="Arial" w:hAnsi="Arial" w:cs="Arial"/>
    </w:rPr>
  </w:style>
  <w:style w:type="paragraph" w:customStyle="1" w:styleId="complexheader-p">
    <w:name w:val="complexheader-p"/>
    <w:basedOn w:val="a"/>
  </w:style>
  <w:style w:type="paragraph" w:customStyle="1" w:styleId="hightlightp">
    <w:name w:val="hightlightp"/>
    <w:basedOn w:val="a"/>
  </w:style>
  <w:style w:type="paragraph" w:customStyle="1" w:styleId="remark-p">
    <w:name w:val="remark-p"/>
    <w:basedOn w:val="a"/>
    <w:rPr>
      <w:sz w:val="18"/>
      <w:szCs w:val="18"/>
    </w:rPr>
  </w:style>
  <w:style w:type="paragraph" w:customStyle="1" w:styleId="complextext-p">
    <w:name w:val="complextext-p"/>
    <w:basedOn w:val="a"/>
  </w:style>
  <w:style w:type="paragraph" w:customStyle="1" w:styleId="electron-p">
    <w:name w:val="electron-p"/>
    <w:basedOn w:val="a"/>
    <w:rPr>
      <w:rFonts w:ascii="Times New Roman" w:eastAsia="Times New Roman" w:hAnsi="Times New Roman" w:cs="Times New Roman"/>
      <w:sz w:val="24"/>
      <w:szCs w:val="24"/>
    </w:rPr>
  </w:style>
  <w:style w:type="paragraph" w:customStyle="1" w:styleId="quot">
    <w:name w:val="quot"/>
    <w:basedOn w:val="a"/>
  </w:style>
  <w:style w:type="paragraph" w:customStyle="1" w:styleId="strong">
    <w:name w:val="strong"/>
    <w:basedOn w:val="a"/>
    <w:rPr>
      <w:b/>
      <w:bCs/>
    </w:rPr>
  </w:style>
  <w:style w:type="paragraph" w:customStyle="1" w:styleId="footnote">
    <w:name w:val="footnote"/>
    <w:basedOn w:val="a"/>
    <w:pPr>
      <w:spacing w:line="220" w:lineRule="atLeast"/>
    </w:pPr>
    <w:rPr>
      <w:rFonts w:ascii="Arial" w:eastAsia="Arial" w:hAnsi="Arial" w:cs="Arial"/>
      <w:sz w:val="16"/>
      <w:szCs w:val="16"/>
    </w:rPr>
  </w:style>
  <w:style w:type="paragraph" w:customStyle="1" w:styleId="newsmaker-p">
    <w:name w:val="newsmaker-p"/>
    <w:basedOn w:val="a"/>
  </w:style>
  <w:style w:type="paragraph" w:customStyle="1" w:styleId="inline-h3">
    <w:name w:val="inline-h3"/>
    <w:basedOn w:val="a"/>
    <w:pPr>
      <w:spacing w:after="180"/>
    </w:pPr>
    <w:rPr>
      <w:rFonts w:ascii="Arial" w:eastAsia="Arial" w:hAnsi="Arial" w:cs="Arial"/>
      <w:b/>
      <w:bCs/>
    </w:rPr>
  </w:style>
  <w:style w:type="paragraph" w:customStyle="1" w:styleId="cbody-b">
    <w:name w:val="cbody-b"/>
    <w:basedOn w:val="a"/>
    <w:pPr>
      <w:spacing w:line="800" w:lineRule="atLeast"/>
    </w:pPr>
    <w:rPr>
      <w:rFonts w:ascii="Arial" w:eastAsia="Arial" w:hAnsi="Arial" w:cs="Arial"/>
      <w:color w:val="A166C1"/>
      <w:sz w:val="80"/>
      <w:szCs w:val="80"/>
    </w:rPr>
  </w:style>
  <w:style w:type="paragraph" w:customStyle="1" w:styleId="inline-author-p-color">
    <w:name w:val="inline-author-p-color"/>
    <w:basedOn w:val="a"/>
    <w:rPr>
      <w:b/>
      <w:bCs/>
    </w:rPr>
  </w:style>
  <w:style w:type="paragraph" w:customStyle="1" w:styleId="example-h-color">
    <w:name w:val="example-h-color"/>
    <w:basedOn w:val="a"/>
    <w:pPr>
      <w:spacing w:line="270" w:lineRule="atLeast"/>
    </w:pPr>
    <w:rPr>
      <w:rFonts w:ascii="Arial" w:eastAsia="Arial" w:hAnsi="Arial" w:cs="Arial"/>
      <w:caps/>
      <w:sz w:val="18"/>
      <w:szCs w:val="18"/>
    </w:rPr>
  </w:style>
  <w:style w:type="paragraph" w:customStyle="1" w:styleId="highlighted">
    <w:name w:val="highlighted"/>
    <w:basedOn w:val="a"/>
    <w:pPr>
      <w:shd w:val="clear" w:color="auto" w:fill="D0B3E0"/>
    </w:pPr>
    <w:rPr>
      <w:shd w:val="clear" w:color="auto" w:fill="D0B3E0"/>
    </w:rPr>
  </w:style>
  <w:style w:type="paragraph" w:customStyle="1" w:styleId="inline-p">
    <w:name w:val="inline-p"/>
    <w:basedOn w:val="a"/>
    <w:rPr>
      <w:rFonts w:ascii="Arial" w:eastAsia="Arial" w:hAnsi="Arial" w:cs="Arial"/>
      <w:sz w:val="19"/>
      <w:szCs w:val="19"/>
    </w:rPr>
  </w:style>
  <w:style w:type="paragraph" w:customStyle="1" w:styleId="Ul">
    <w:name w:val="Ul"/>
    <w:basedOn w:val="a"/>
  </w:style>
  <w:style w:type="paragraph" w:customStyle="1" w:styleId="sticker-a">
    <w:name w:val="sticker-a"/>
    <w:basedOn w:val="a"/>
    <w:rPr>
      <w:color w:val="ED145B"/>
    </w:rPr>
  </w:style>
  <w:style w:type="paragraph" w:customStyle="1" w:styleId="lineheader">
    <w:name w:val="lineheader"/>
    <w:basedOn w:val="a"/>
  </w:style>
  <w:style w:type="paragraph" w:customStyle="1" w:styleId="example-p">
    <w:name w:val="example-p"/>
    <w:basedOn w:val="a"/>
    <w:rPr>
      <w:rFonts w:ascii="Arial" w:eastAsia="Arial" w:hAnsi="Arial" w:cs="Arial"/>
      <w:sz w:val="19"/>
      <w:szCs w:val="19"/>
    </w:rPr>
  </w:style>
  <w:style w:type="paragraph" w:customStyle="1" w:styleId="inline-author-p">
    <w:name w:val="inline-author-p"/>
    <w:basedOn w:val="a"/>
    <w:rPr>
      <w:sz w:val="18"/>
      <w:szCs w:val="18"/>
    </w:rPr>
  </w:style>
  <w:style w:type="paragraph" w:customStyle="1" w:styleId="cbody-p">
    <w:name w:val="cbody-p"/>
    <w:basedOn w:val="a"/>
  </w:style>
  <w:style w:type="paragraph" w:customStyle="1" w:styleId="superfootnote">
    <w:name w:val="superfootnote"/>
    <w:basedOn w:val="a"/>
  </w:style>
  <w:style w:type="paragraph" w:customStyle="1" w:styleId="newsmaker-name">
    <w:name w:val="newsmaker-name"/>
    <w:basedOn w:val="a"/>
    <w:pPr>
      <w:spacing w:line="280" w:lineRule="atLeast"/>
    </w:pPr>
    <w:rPr>
      <w:rFonts w:ascii="Times New Roman" w:eastAsia="Times New Roman" w:hAnsi="Times New Roman" w:cs="Times New Roman"/>
      <w:b/>
      <w:bCs/>
      <w:sz w:val="25"/>
      <w:szCs w:val="25"/>
    </w:rPr>
  </w:style>
  <w:style w:type="paragraph" w:customStyle="1" w:styleId="example-h3">
    <w:name w:val="example-h3"/>
    <w:basedOn w:val="a"/>
    <w:rPr>
      <w:rFonts w:ascii="Arial" w:eastAsia="Arial" w:hAnsi="Arial" w:cs="Arial"/>
      <w:b/>
      <w:bCs/>
    </w:rPr>
  </w:style>
  <w:style w:type="paragraph" w:customStyle="1" w:styleId="link">
    <w:name w:val="link"/>
    <w:basedOn w:val="a"/>
    <w:rPr>
      <w:color w:val="008200"/>
    </w:rPr>
  </w:style>
  <w:style w:type="paragraph" w:customStyle="1" w:styleId="quiz2-title-h2">
    <w:name w:val="quiz2-title-h2"/>
    <w:basedOn w:val="a"/>
    <w:pPr>
      <w:spacing w:after="195"/>
    </w:pPr>
    <w:rPr>
      <w:rFonts w:ascii="Arial" w:eastAsia="Arial" w:hAnsi="Arial" w:cs="Arial"/>
      <w:color w:val="403D32"/>
      <w:sz w:val="44"/>
      <w:szCs w:val="44"/>
    </w:rPr>
  </w:style>
  <w:style w:type="paragraph" w:customStyle="1" w:styleId="blank-noteheader">
    <w:name w:val="blank-noteheader"/>
    <w:basedOn w:val="a"/>
    <w:rPr>
      <w:b/>
      <w:bCs/>
      <w:color w:val="E11F27"/>
      <w:sz w:val="23"/>
      <w:szCs w:val="23"/>
    </w:rPr>
  </w:style>
  <w:style w:type="paragraph" w:customStyle="1" w:styleId="Liinline-p">
    <w:name w:val="Li_inline-p"/>
    <w:basedOn w:val="a"/>
    <w:rPr>
      <w:rFonts w:ascii="Arial" w:eastAsia="Arial" w:hAnsi="Arial" w:cs="Arial"/>
      <w:sz w:val="19"/>
      <w:szCs w:val="19"/>
    </w:rPr>
  </w:style>
  <w:style w:type="paragraph" w:customStyle="1" w:styleId="Ol">
    <w:name w:val="Ol"/>
    <w:basedOn w:val="a"/>
  </w:style>
  <w:style w:type="paragraph" w:customStyle="1" w:styleId="cbody-h3">
    <w:name w:val="cbody-h3"/>
    <w:basedOn w:val="a"/>
    <w:pPr>
      <w:spacing w:line="380" w:lineRule="atLeast"/>
    </w:pPr>
    <w:rPr>
      <w:rFonts w:ascii="Arial" w:eastAsia="Arial" w:hAnsi="Arial" w:cs="Arial"/>
      <w:b/>
      <w:bCs/>
      <w:color w:val="A166C1"/>
      <w:sz w:val="38"/>
      <w:szCs w:val="38"/>
    </w:rPr>
  </w:style>
  <w:style w:type="paragraph" w:customStyle="1" w:styleId="cbody-h2">
    <w:name w:val="cbody-h2"/>
    <w:basedOn w:val="a"/>
    <w:pPr>
      <w:spacing w:line="380" w:lineRule="atLeast"/>
    </w:pPr>
    <w:rPr>
      <w:b/>
      <w:bCs/>
      <w:i/>
      <w:iCs/>
      <w:sz w:val="38"/>
      <w:szCs w:val="38"/>
    </w:rPr>
  </w:style>
  <w:style w:type="paragraph" w:customStyle="1" w:styleId="newsmaker-info">
    <w:name w:val="newsmaker-info"/>
    <w:basedOn w:val="a"/>
  </w:style>
  <w:style w:type="paragraph" w:customStyle="1" w:styleId="quiz2-rightanswer">
    <w:name w:val="quiz2-rightanswer"/>
    <w:basedOn w:val="a"/>
    <w:rPr>
      <w:vanish/>
    </w:rPr>
  </w:style>
  <w:style w:type="paragraph" w:customStyle="1" w:styleId="table-thead-th">
    <w:name w:val="table-thead-th"/>
    <w:basedOn w:val="a"/>
    <w:pPr>
      <w:spacing w:line="270" w:lineRule="atLeast"/>
    </w:pPr>
    <w:rPr>
      <w:rFonts w:ascii="Arial" w:eastAsia="Arial" w:hAnsi="Arial" w:cs="Arial"/>
      <w:b/>
      <w:bCs/>
    </w:rPr>
  </w:style>
  <w:style w:type="paragraph" w:customStyle="1" w:styleId="storno">
    <w:name w:val="storno"/>
    <w:basedOn w:val="a"/>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a"/>
    <w:rPr>
      <w:vanish/>
    </w:rPr>
  </w:style>
  <w:style w:type="paragraph" w:customStyle="1" w:styleId="quiz2-answer">
    <w:name w:val="quiz2-answer"/>
    <w:basedOn w:val="a"/>
    <w:pPr>
      <w:spacing w:line="250" w:lineRule="atLeast"/>
    </w:pPr>
    <w:rPr>
      <w:rFonts w:ascii="Arial" w:eastAsia="Arial" w:hAnsi="Arial" w:cs="Arial"/>
      <w:color w:val="403D32"/>
      <w:sz w:val="18"/>
      <w:szCs w:val="18"/>
    </w:rPr>
  </w:style>
  <w:style w:type="paragraph" w:customStyle="1" w:styleId="remark-h3">
    <w:name w:val="remark-h3"/>
    <w:basedOn w:val="a"/>
    <w:pPr>
      <w:spacing w:line="270" w:lineRule="atLeast"/>
    </w:pPr>
    <w:rPr>
      <w:rFonts w:ascii="Arial" w:eastAsia="Arial" w:hAnsi="Arial" w:cs="Arial"/>
      <w:b/>
      <w:bCs/>
    </w:rPr>
  </w:style>
  <w:style w:type="paragraph" w:customStyle="1" w:styleId="inquirer-p-a">
    <w:name w:val="inquirer-p-a"/>
    <w:basedOn w:val="a"/>
    <w:rPr>
      <w:color w:val="1252A1"/>
    </w:rPr>
  </w:style>
  <w:style w:type="paragraph" w:customStyle="1" w:styleId="quiz-rightanswer">
    <w:name w:val="quiz-rightanswer"/>
    <w:basedOn w:val="a"/>
    <w:pPr>
      <w:shd w:val="clear" w:color="auto" w:fill="F8F6EB"/>
      <w:spacing w:line="260" w:lineRule="atLeast"/>
    </w:pPr>
    <w:rPr>
      <w:rFonts w:ascii="Arial" w:eastAsia="Arial" w:hAnsi="Arial" w:cs="Arial"/>
      <w:sz w:val="19"/>
      <w:szCs w:val="19"/>
      <w:shd w:val="clear" w:color="auto" w:fill="F8F6EB"/>
    </w:rPr>
  </w:style>
  <w:style w:type="character" w:customStyle="1" w:styleId="Spansticker-a">
    <w:name w:val="Span_sticker-a"/>
    <w:basedOn w:val="a0"/>
    <w:rPr>
      <w:color w:val="ED145B"/>
    </w:rPr>
  </w:style>
  <w:style w:type="character" w:customStyle="1" w:styleId="Spanlink">
    <w:name w:val="Span_link"/>
    <w:basedOn w:val="a0"/>
    <w:rPr>
      <w:color w:val="008200"/>
    </w:rPr>
  </w:style>
  <w:style w:type="paragraph" w:customStyle="1" w:styleId="Tdtable-td">
    <w:name w:val="Td_table-td"/>
    <w:basedOn w:val="a"/>
    <w:pPr>
      <w:spacing w:line="270" w:lineRule="atLeast"/>
    </w:pPr>
    <w:rPr>
      <w:rFonts w:ascii="Arial" w:eastAsia="Arial" w:hAnsi="Arial" w:cs="Arial"/>
    </w:rPr>
  </w:style>
  <w:style w:type="character" w:customStyle="1" w:styleId="Bcbody-b">
    <w:name w:val="B_cbody-b"/>
    <w:basedOn w:val="a0"/>
    <w:rPr>
      <w:rFonts w:ascii="Arial" w:eastAsia="Arial" w:hAnsi="Arial" w:cs="Arial"/>
      <w:color w:val="A166C1"/>
      <w:sz w:val="80"/>
      <w:szCs w:val="80"/>
    </w:rPr>
  </w:style>
  <w:style w:type="paragraph" w:customStyle="1" w:styleId="H2quiz2-title-h2">
    <w:name w:val="H2_quiz2-title-h2"/>
    <w:basedOn w:val="2"/>
    <w:pPr>
      <w:spacing w:after="195" w:line="300" w:lineRule="atLeast"/>
    </w:pPr>
    <w:rPr>
      <w:color w:val="403D32"/>
      <w:sz w:val="44"/>
      <w:szCs w:val="44"/>
    </w:rPr>
  </w:style>
  <w:style w:type="paragraph" w:customStyle="1" w:styleId="Tdquiz2-answer">
    <w:name w:val="Td_quiz2-answer"/>
    <w:basedOn w:val="a"/>
    <w:pPr>
      <w:spacing w:line="250" w:lineRule="atLeast"/>
    </w:pPr>
    <w:rPr>
      <w:rFonts w:ascii="Arial" w:eastAsia="Arial" w:hAnsi="Arial" w:cs="Arial"/>
      <w:color w:val="403D3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cp:lastPrinted>1601-01-01T00:00:00Z</cp:lastPrinted>
  <dcterms:created xsi:type="dcterms:W3CDTF">2018-07-03T08:56:00Z</dcterms:created>
  <dcterms:modified xsi:type="dcterms:W3CDTF">2018-07-03T08:56:00Z</dcterms:modified>
</cp:coreProperties>
</file>