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7B3E" w:rsidRDefault="006365DA">
      <w:pPr>
        <w:pStyle w:val="electron-p"/>
        <w:spacing w:after="280" w:afterAutospacing="1"/>
      </w:pPr>
      <w:r>
        <w:t>Электронный журнал</w:t>
      </w:r>
    </w:p>
    <w:p w:rsidR="00000000" w:rsidRDefault="00177358">
      <w:pPr>
        <w:spacing w:after="280" w:afterAutospacing="1"/>
      </w:pPr>
      <w:r>
        <w:rPr>
          <w:noProof/>
        </w:rPr>
        <w:drawing>
          <wp:inline distT="0" distB="0" distL="0" distR="0">
            <wp:extent cx="2095500" cy="304800"/>
            <wp:effectExtent l="19050" t="0" r="0" b="0"/>
            <wp:docPr id="1" name="Рисунок 1" descr="Электронный журнал «Справочник специалиста по охране труд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лектронный журнал «Справочник специалиста по охране труда»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365DA">
      <w:pPr>
        <w:spacing w:after="280" w:afterAutospacing="1"/>
      </w:pPr>
      <w:r>
        <w:t>Организация работы по охране труда / работа специалиста по охране труда</w:t>
      </w:r>
    </w:p>
    <w:p w:rsidR="00000000" w:rsidRDefault="006365DA">
      <w:pPr>
        <w:spacing w:after="280" w:afterAutospacing="1"/>
      </w:pPr>
      <w:r>
        <w:rPr>
          <w:b/>
          <w:bCs/>
        </w:rPr>
        <w:t>Убедитесь, что вы не работаете за других: как эффективно распределить обязанности между кадровиками и службой охраны труда</w:t>
      </w:r>
    </w:p>
    <w:p w:rsidR="00000000" w:rsidRDefault="006365DA">
      <w:pPr>
        <w:spacing w:after="280" w:afterAutospacing="1"/>
      </w:pPr>
      <w:r>
        <w:rPr>
          <w:b/>
          <w:bCs/>
        </w:rPr>
        <w:t>Анна СЛАВИНСКАЯ</w:t>
      </w:r>
      <w:r>
        <w:br/>
        <w:t>специалист по кадра</w:t>
      </w:r>
      <w:r>
        <w:t xml:space="preserve">м, преподаватель УЦ «Эксперт» (г. Волгоград), автор интернет-проекта «Бизнес в плюс» </w:t>
      </w:r>
    </w:p>
    <w:p w:rsidR="00000000" w:rsidRDefault="006365DA">
      <w:pPr>
        <w:spacing w:after="280" w:afterAutospacing="1"/>
      </w:pPr>
      <w:r>
        <w:t>Обязанности по охране труда в нормативных документах прописаны рамочно – в законодательстве нет четкого ответа, кто именно должен отвечать за конкретный процесс. Есть лиш</w:t>
      </w:r>
      <w:r>
        <w:t>ь профстандарты. Отсюда – вечные споры между кадровиками и специалистами по охране труда: кто должен выписывать направления на медосмотры, знакомить сотрудников с результатами спецоценки, предоставлять нужные данные при расследовании несчастных случаев. Ав</w:t>
      </w:r>
      <w:r>
        <w:t>тор статьи разобрал самые острые ситуации и предложил готовые универсальные решения, которые себя хорошо зарекомендовали на практике. Они помогут вам грамотно разделить смежные обязанности с кадровиками, чтобы вы перестали делать чужую работу, а компания и</w:t>
      </w:r>
      <w:r>
        <w:t>збежала крупных штрафов при проверках ГИТ за то, что работники вовремя не прошли медосмотр или обучение по охране труда.</w:t>
      </w:r>
    </w:p>
    <w:p w:rsidR="00000000" w:rsidRDefault="006365DA">
      <w:pPr>
        <w:spacing w:after="280" w:afterAutospacing="1"/>
      </w:pPr>
      <w:r>
        <w:t xml:space="preserve"> Самый эффективный способ наладить процесс – разработать его регламент. Инициировать распределение обязанностей вы можете и в давно </w:t>
      </w:r>
      <w:r>
        <w:t>действующей организации, где все процедуры сложились стихийно, но не оптимально, и в новой компании, где еще ничего толком не распределили. Воспользуйтесь подсказками по каждой процедуре и шаблоном служебной записки на имя руководителя организации с оптима</w:t>
      </w:r>
      <w:r>
        <w:t xml:space="preserve">льным регламентом распределения обязанностей по охране труда. </w:t>
      </w:r>
    </w:p>
    <w:p w:rsidR="00000000" w:rsidRDefault="006365DA">
      <w:pPr>
        <w:pStyle w:val="2"/>
        <w:spacing w:after="280" w:afterAutospacing="1"/>
      </w:pPr>
      <w:r>
        <w:lastRenderedPageBreak/>
        <w:t xml:space="preserve">Обязательные медицинские осмотры </w:t>
      </w:r>
    </w:p>
    <w:p w:rsidR="00000000" w:rsidRDefault="00177358">
      <w:pPr>
        <w:spacing w:after="280" w:afterAutospacing="1"/>
      </w:pPr>
      <w:r>
        <w:rPr>
          <w:noProof/>
        </w:rPr>
        <w:drawing>
          <wp:inline distT="0" distB="0" distL="0" distR="0">
            <wp:extent cx="5433060" cy="329184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0" cy="329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365DA">
      <w:pPr>
        <w:spacing w:after="280" w:afterAutospacing="1"/>
      </w:pPr>
      <w:r>
        <w:rPr>
          <w:b/>
          <w:bCs/>
        </w:rPr>
        <w:t>Как урегулировать ситуацию.</w:t>
      </w:r>
      <w:r>
        <w:t xml:space="preserve"> Направление на обязательное психиатрическое освидетельствование и предварительный медосмотр удобнее выдавать кадровой службе после того, как кандидат успешно пройдет все собеседования. Пр</w:t>
      </w:r>
      <w:r>
        <w:t>и этом сам бланк направления должна разработать служба охраны труда. Готовить списки работников для психиатрического освидетельствования и периодического медосмотра лучше сотруднику, у которого есть доступ к программе по учету кадров — там этот список можн</w:t>
      </w:r>
      <w:r>
        <w:t>о формировать автоматически. Хранить результаты периодических медицинских осмотров, например заключительные акты, целесообразно в службе охраны труда. Заключения по результатам предварительных медицинских осмотров хранят в личных делах работников в кадрово</w:t>
      </w:r>
      <w:r>
        <w:t xml:space="preserve">й службе — там их можно будет быстро найти, если ГИТ придет с проверкой. </w:t>
      </w:r>
    </w:p>
    <w:p w:rsidR="00000000" w:rsidRDefault="006365DA">
      <w:pPr>
        <w:spacing w:after="280" w:afterAutospacing="1"/>
      </w:pPr>
      <w:r>
        <w:t>После медосмотра специалист по охране труда подает руководителям подразделений сведения о работниках, которые не прошли периодический медосмотр по неуважительной причине. Если у рабо</w:t>
      </w:r>
      <w:r>
        <w:t>тников выявят противопоказания к работе, специалист по охране труда сообщает руководителю подразделения или в службу кадров. Служба кадров готовит приказ об отстранении сотрудника от работы или переводе на другую работу.</w:t>
      </w:r>
    </w:p>
    <w:p w:rsidR="00000000" w:rsidRDefault="006365DA">
      <w:pPr>
        <w:pStyle w:val="2"/>
        <w:spacing w:after="280" w:afterAutospacing="1"/>
      </w:pPr>
      <w:r>
        <w:lastRenderedPageBreak/>
        <w:t>Обучение по охране труда</w:t>
      </w:r>
    </w:p>
    <w:p w:rsidR="00000000" w:rsidRDefault="00177358">
      <w:pPr>
        <w:spacing w:after="280" w:afterAutospacing="1"/>
      </w:pPr>
      <w:r>
        <w:rPr>
          <w:noProof/>
        </w:rPr>
        <w:drawing>
          <wp:inline distT="0" distB="0" distL="0" distR="0">
            <wp:extent cx="5349240" cy="3695700"/>
            <wp:effectExtent l="1905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4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365DA">
      <w:pPr>
        <w:spacing w:after="280" w:afterAutospacing="1"/>
      </w:pPr>
      <w:r>
        <w:rPr>
          <w:b/>
          <w:bCs/>
        </w:rPr>
        <w:t>Как урег</w:t>
      </w:r>
      <w:r>
        <w:rPr>
          <w:b/>
          <w:bCs/>
        </w:rPr>
        <w:t>улировать ситуацию.</w:t>
      </w:r>
      <w:r>
        <w:t xml:space="preserve"> Контролировать сроки и качество проведения инструктажей — обязанность специалиста по охране труда. Это значит, что вам нужно правильно организовать процесс, помочь методически, согласовать все программы и инструкции. Проводить вводный и</w:t>
      </w:r>
      <w:r>
        <w:t>нструктаж может не только специалист по охране труда, но и другой работник, на которого руководитель организации приказом возложил эти обязанности (</w:t>
      </w:r>
      <w:r>
        <w:rPr>
          <w:rStyle w:val="Spanlink"/>
          <w:u w:val="single"/>
        </w:rPr>
        <w:t>п. 2.1.2</w:t>
      </w:r>
      <w:r>
        <w:t xml:space="preserve"> Порядка 1/29). С инструкциями по охране труда сотрудников знакомит их непосредственный руководитель</w:t>
      </w:r>
      <w:r>
        <w:t xml:space="preserve"> во время первичного инструктажа на рабочем месте. Чтобы работник не приступил к работе без инструктажей, разработайте </w:t>
      </w:r>
      <w:r>
        <w:rPr>
          <w:rStyle w:val="Spanlink"/>
          <w:u w:val="single"/>
        </w:rPr>
        <w:t>листок оформления на работу</w:t>
      </w:r>
      <w:r>
        <w:t>, который всем новичкам будут выдавать в службе кадров. В листок включите информацию о новом сотруднике и поря</w:t>
      </w:r>
      <w:r>
        <w:t>док его дальнейших действий. Пока работник не выполнит предыдущее действие, он не сможет перейти к следующему. Например, без отметки о прохождении инструктажа нельзя получить на складе средства индивидуальной защиты или спецодежду. Составлять списки работн</w:t>
      </w:r>
      <w:r>
        <w:t>иков для обучения охране труда и периодической проверки знаний удобнее с помощью автоматизированных баз. Если доступа к такой базе нет, ежемесячно запрашивайте у кадровиков информацию о принятых и уволенных сотрудниках.</w:t>
      </w:r>
    </w:p>
    <w:p w:rsidR="00000000" w:rsidRDefault="006365DA">
      <w:pPr>
        <w:pStyle w:val="2"/>
        <w:spacing w:after="280" w:afterAutospacing="1"/>
      </w:pPr>
      <w:r>
        <w:lastRenderedPageBreak/>
        <w:t>Расследование несчастных случаев</w:t>
      </w:r>
    </w:p>
    <w:p w:rsidR="00000000" w:rsidRDefault="00177358">
      <w:pPr>
        <w:spacing w:after="280" w:afterAutospacing="1"/>
      </w:pPr>
      <w:r>
        <w:rPr>
          <w:noProof/>
        </w:rPr>
        <w:drawing>
          <wp:inline distT="0" distB="0" distL="0" distR="0">
            <wp:extent cx="5288280" cy="3322320"/>
            <wp:effectExtent l="1905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332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365DA">
      <w:pPr>
        <w:spacing w:after="280" w:afterAutospacing="1"/>
      </w:pPr>
      <w:r>
        <w:rPr>
          <w:b/>
          <w:bCs/>
        </w:rPr>
        <w:t>К</w:t>
      </w:r>
      <w:r>
        <w:rPr>
          <w:b/>
          <w:bCs/>
        </w:rPr>
        <w:t>ак урегулировать ситуацию.</w:t>
      </w:r>
      <w:r>
        <w:t xml:space="preserve"> Окончательный состав материалов расследования определяет председатель комиссии по расследованию несчастного случая. Большинство документов составляет специалист по охране труда: извещение и акт о несчастном случае, протоколы опро</w:t>
      </w:r>
      <w:r>
        <w:t>са свидетелей и осмотра места происшествия, сообщение о принятых мерах и т. д. В материалы расследования могут входить копии трудовых договоров, дополнительных соглашений, трудовых книжек, табель учета рабочего времени. Эти материалы специалист по охране т</w:t>
      </w:r>
      <w:r>
        <w:t>руда имеет право запрашивать в кадровой службе, а кадровики должны их предоставлять. Срок расследования несчастного случая очень короткий, поэтому заранее установите, кто оформляет приказ о создании комиссии по расследованию, определите, в какой последоват</w:t>
      </w:r>
      <w:r>
        <w:t xml:space="preserve">ельности нужно составлять документы, регламентируйте порядок взаимодействия с кадровой службой. </w:t>
      </w:r>
    </w:p>
    <w:tbl>
      <w:tblPr>
        <w:tblW w:w="5000" w:type="pct"/>
        <w:tblInd w:w="330" w:type="dxa"/>
        <w:tblCellMar>
          <w:left w:w="0" w:type="dxa"/>
          <w:right w:w="0" w:type="dxa"/>
        </w:tblCellMar>
        <w:tblLook w:val="04A0"/>
      </w:tblPr>
      <w:tblGrid>
        <w:gridCol w:w="9300"/>
      </w:tblGrid>
      <w:tr w:rsidR="00000000"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tcMar>
              <w:top w:w="150" w:type="dxa"/>
              <w:left w:w="330" w:type="dxa"/>
              <w:bottom w:w="465" w:type="dxa"/>
              <w:right w:w="330" w:type="dxa"/>
            </w:tcMar>
            <w:vAlign w:val="center"/>
          </w:tcPr>
          <w:p w:rsidR="00000000" w:rsidRDefault="006365DA">
            <w:pPr>
              <w:pStyle w:val="example-p"/>
            </w:pPr>
            <w:r>
              <w:rPr>
                <w:b/>
                <w:bCs/>
              </w:rPr>
              <w:t xml:space="preserve">Пример. </w:t>
            </w:r>
            <w:r>
              <w:t>Служба охраны труда по электронной почте запрашивает список нужных документов, указывая форму их представления — оригинал, копия, выписка. Отдел кадров</w:t>
            </w:r>
            <w:r>
              <w:t xml:space="preserve"> в течение трех часов готовит документы по списку. Документы передают по реестру, чтобы факт передачи зафиксировали работники обеих служб. Служба охраны труда контролирует соблюдение сроков и процедуры расследования. Специалист по охране труда передает док</w:t>
            </w:r>
            <w:r>
              <w:t xml:space="preserve">ументы в ГИТ и иные </w:t>
            </w:r>
            <w:r>
              <w:lastRenderedPageBreak/>
              <w:t>контролирующие органы, а потом отчитывается о предпринятых мерах. </w:t>
            </w:r>
          </w:p>
        </w:tc>
      </w:tr>
    </w:tbl>
    <w:p w:rsidR="00000000" w:rsidRDefault="006365DA"/>
    <w:p w:rsidR="00000000" w:rsidRDefault="006365DA">
      <w:pPr>
        <w:pStyle w:val="2"/>
        <w:spacing w:after="280" w:afterAutospacing="1"/>
      </w:pPr>
      <w:r>
        <w:t>Спецоценка и связанные с ней гарантии и компенсации</w:t>
      </w:r>
    </w:p>
    <w:p w:rsidR="00000000" w:rsidRDefault="00177358">
      <w:pPr>
        <w:spacing w:after="280" w:afterAutospacing="1"/>
      </w:pPr>
      <w:r>
        <w:rPr>
          <w:noProof/>
        </w:rPr>
        <w:drawing>
          <wp:inline distT="0" distB="0" distL="0" distR="0">
            <wp:extent cx="5311140" cy="4023360"/>
            <wp:effectExtent l="1905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140" cy="402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365DA">
      <w:pPr>
        <w:spacing w:after="280" w:afterAutospacing="1"/>
      </w:pPr>
      <w:r>
        <w:rPr>
          <w:b/>
          <w:bCs/>
        </w:rPr>
        <w:t>Как урегулировать ситуацию.</w:t>
      </w:r>
      <w:r>
        <w:t xml:space="preserve"> Знакомить сотрудников с результатами специальной оценки условий труда целесообразно п</w:t>
      </w:r>
      <w:r>
        <w:t>оручить кадровикам: этот процесс для них более привычный и налаженный. Учтите, что ознакомить с условиями трудового договора недостаточно. Работник должен ознакомиться с картой СОУТ для своего рабочего места и поставить в ней свою подпись. Подготовку допол</w:t>
      </w:r>
      <w:r>
        <w:t xml:space="preserve">нительных соглашений к трудовым договорам, если после СОУТ нужно изменить условия трудового договора, целиком на кадровую службу переложить нельзя. Специалист по охране труда должен помочь составить, согласовать перечень гарантий и компенсаций для каждого </w:t>
      </w:r>
      <w:r>
        <w:t xml:space="preserve">класса условий труда. Например, совместно с кадровиками проработать содержание раздела трудового </w:t>
      </w:r>
      <w:r>
        <w:lastRenderedPageBreak/>
        <w:t>договора об условиях труда для работников, работающих в разных условиях. Если СОУТ установит, что условия труда работника оптимальные или допустимые, в договор</w:t>
      </w:r>
      <w:r>
        <w:t>е достаточно указать класс условий труда со ссылкой на заключение спецоценки. Если условия труда вредные, для каждого подкласса лучше разработать свой набор гарантий и компенсаций, а также прописать условия и порядок их предоставления.</w:t>
      </w:r>
    </w:p>
    <w:p w:rsidR="00000000" w:rsidRDefault="006365DA">
      <w:pPr>
        <w:pStyle w:val="2"/>
        <w:spacing w:after="280" w:afterAutospacing="1"/>
      </w:pPr>
      <w:r>
        <w:t>Локальные акты</w:t>
      </w:r>
    </w:p>
    <w:p w:rsidR="00000000" w:rsidRDefault="00177358">
      <w:pPr>
        <w:spacing w:after="280" w:afterAutospacing="1"/>
      </w:pPr>
      <w:r>
        <w:rPr>
          <w:noProof/>
        </w:rPr>
        <w:drawing>
          <wp:inline distT="0" distB="0" distL="0" distR="0">
            <wp:extent cx="5288280" cy="3436620"/>
            <wp:effectExtent l="1905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343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365DA">
      <w:pPr>
        <w:spacing w:after="280" w:afterAutospacing="1"/>
      </w:pPr>
      <w:r>
        <w:rPr>
          <w:b/>
          <w:bCs/>
        </w:rPr>
        <w:t>Как</w:t>
      </w:r>
      <w:r>
        <w:rPr>
          <w:b/>
          <w:bCs/>
        </w:rPr>
        <w:t xml:space="preserve"> урегулировать ситуацию. </w:t>
      </w:r>
      <w:r>
        <w:t>Кадровой службе можно поручить оформить в соответствии с ГОСТ уже готовый и согласованный локальный акт. Кадровики зарегистрируют документ, ознакомят с ним работников и обеспечат его хранение. Введите правило, по которому должностн</w:t>
      </w:r>
      <w:r>
        <w:t xml:space="preserve">ые инструкции, трудовые договоры, все локальные акты, затрагивающие вопросы охраны труда, кадровая служба согласовывает со службой охраны труда. Это правило закрепите в специальном регламенте по разработке локальных актов, в инструкции по делопроизводству </w:t>
      </w:r>
      <w:r>
        <w:t xml:space="preserve">или в приказе. </w:t>
      </w:r>
    </w:p>
    <w:p w:rsidR="00000000" w:rsidRDefault="006365DA">
      <w:pPr>
        <w:pStyle w:val="strong"/>
        <w:spacing w:after="280" w:afterAutospacing="1"/>
      </w:pPr>
      <w:r>
        <w:t xml:space="preserve">Выдержка из инструкции по делопроизводству о согласовании документов </w:t>
      </w:r>
    </w:p>
    <w:p w:rsidR="00000000" w:rsidRDefault="00177358">
      <w:pPr>
        <w:spacing w:after="280" w:afterAutospacing="1"/>
      </w:pPr>
      <w:r>
        <w:rPr>
          <w:noProof/>
        </w:rPr>
        <w:lastRenderedPageBreak/>
        <w:drawing>
          <wp:inline distT="0" distB="0" distL="0" distR="0">
            <wp:extent cx="5486400" cy="261366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1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365DA">
      <w:pPr>
        <w:pStyle w:val="strong"/>
        <w:spacing w:after="280" w:afterAutospacing="1"/>
      </w:pPr>
      <w:r>
        <w:t>Служебная записка о перераспределении обязанностей по охране труда</w:t>
      </w:r>
    </w:p>
    <w:p w:rsidR="00000000" w:rsidRDefault="00177358">
      <w:pPr>
        <w:spacing w:after="280" w:afterAutospacing="1"/>
      </w:pPr>
      <w:r>
        <w:rPr>
          <w:noProof/>
        </w:rPr>
        <w:lastRenderedPageBreak/>
        <w:drawing>
          <wp:inline distT="0" distB="0" distL="0" distR="0">
            <wp:extent cx="5486400" cy="627126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27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77358">
      <w:pPr>
        <w:spacing w:after="280" w:afterAutospacing="1"/>
      </w:pPr>
      <w:r>
        <w:rPr>
          <w:noProof/>
        </w:rPr>
        <w:lastRenderedPageBreak/>
        <w:drawing>
          <wp:inline distT="0" distB="0" distL="0" distR="0">
            <wp:extent cx="5486400" cy="574548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74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365DA">
      <w:pPr>
        <w:pStyle w:val="strong"/>
        <w:spacing w:after="280" w:afterAutospacing="1"/>
      </w:pPr>
      <w:r>
        <w:t>Регламент распределения обязанностей по охране труда</w:t>
      </w:r>
    </w:p>
    <w:p w:rsidR="00000000" w:rsidRDefault="00177358">
      <w:pPr>
        <w:spacing w:after="280" w:afterAutospacing="1"/>
      </w:pPr>
      <w:r>
        <w:rPr>
          <w:noProof/>
        </w:rPr>
        <w:lastRenderedPageBreak/>
        <w:drawing>
          <wp:inline distT="0" distB="0" distL="0" distR="0">
            <wp:extent cx="5486400" cy="832104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32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365DA">
      <w:pPr>
        <w:spacing w:after="280" w:afterAutospacing="1"/>
      </w:pPr>
      <w:r>
        <w:rPr>
          <w:b/>
          <w:bCs/>
        </w:rPr>
        <w:lastRenderedPageBreak/>
        <w:t xml:space="preserve">Листок оформления на работу </w:t>
      </w:r>
    </w:p>
    <w:p w:rsidR="00000000" w:rsidRDefault="00177358">
      <w:pPr>
        <w:spacing w:after="280" w:afterAutospacing="1"/>
      </w:pPr>
      <w:r>
        <w:rPr>
          <w:noProof/>
        </w:rPr>
        <w:drawing>
          <wp:inline distT="0" distB="0" distL="0" distR="0">
            <wp:extent cx="5486400" cy="473202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732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5DA" w:rsidRDefault="006365DA">
      <w:pPr>
        <w:spacing w:after="280" w:afterAutospacing="1"/>
      </w:pPr>
      <w:r>
        <w:t xml:space="preserve">  </w:t>
      </w:r>
    </w:p>
    <w:sectPr w:rsidR="006365DA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stylePaneSortMethod w:val="0000"/>
  <w:defaultTabStop w:val="720"/>
  <w:noPunctuationKerning/>
  <w:characterSpacingControl w:val="doNotCompress"/>
  <w:compat/>
  <w:rsids>
    <w:rsidRoot w:val="00A77B3E"/>
    <w:rsid w:val="00177358"/>
    <w:rsid w:val="006365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Right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pacing w:line="300" w:lineRule="atLeast"/>
    </w:pPr>
    <w:rPr>
      <w:rFonts w:ascii="Georgia" w:eastAsia="Georgia" w:hAnsi="Georgia" w:cs="Georgia"/>
      <w:color w:val="000000"/>
      <w:sz w:val="22"/>
      <w:szCs w:val="22"/>
    </w:rPr>
  </w:style>
  <w:style w:type="paragraph" w:styleId="2">
    <w:name w:val="heading 2"/>
    <w:basedOn w:val="a"/>
    <w:next w:val="a"/>
    <w:qFormat/>
    <w:rsid w:val="00EF7B96"/>
    <w:pPr>
      <w:keepNext/>
      <w:spacing w:before="555" w:after="330" w:line="580" w:lineRule="atLeast"/>
      <w:outlineLvl w:val="1"/>
    </w:pPr>
    <w:rPr>
      <w:rFonts w:ascii="Arial" w:eastAsia="Arial" w:hAnsi="Arial" w:cs="Arial"/>
      <w:b/>
      <w:bCs/>
      <w:sz w:val="38"/>
      <w:szCs w:val="38"/>
    </w:rPr>
  </w:style>
  <w:style w:type="paragraph" w:styleId="3">
    <w:name w:val="heading 3"/>
    <w:basedOn w:val="a"/>
    <w:next w:val="a"/>
    <w:qFormat/>
    <w:rsid w:val="00EF7B96"/>
    <w:pPr>
      <w:keepNext/>
      <w:spacing w:before="240" w:after="60"/>
      <w:outlineLvl w:val="2"/>
    </w:pPr>
    <w:rPr>
      <w:rFonts w:ascii="Arial" w:eastAsia="Arial" w:hAnsi="Arial" w:cs="Arial"/>
      <w:b/>
      <w:bCs/>
      <w:sz w:val="30"/>
      <w:szCs w:val="30"/>
    </w:rPr>
  </w:style>
  <w:style w:type="paragraph" w:styleId="4">
    <w:name w:val="heading 4"/>
    <w:basedOn w:val="a"/>
    <w:next w:val="a"/>
    <w:qFormat/>
    <w:rsid w:val="00EF7B96"/>
    <w:pPr>
      <w:keepNext/>
      <w:spacing w:before="240" w:after="60"/>
      <w:outlineLvl w:val="3"/>
    </w:pPr>
    <w:rPr>
      <w:i/>
      <w:iCs/>
    </w:rPr>
  </w:style>
  <w:style w:type="paragraph" w:styleId="5">
    <w:name w:val="heading 5"/>
    <w:basedOn w:val="a"/>
    <w:next w:val="a"/>
    <w:qFormat/>
    <w:rsid w:val="00EF7B96"/>
    <w:pPr>
      <w:spacing w:before="75" w:after="105" w:line="270" w:lineRule="atLeast"/>
      <w:outlineLvl w:val="4"/>
    </w:pPr>
    <w:rPr>
      <w:b/>
      <w:bCs/>
      <w:sz w:val="18"/>
      <w:szCs w:val="18"/>
    </w:rPr>
  </w:style>
  <w:style w:type="paragraph" w:styleId="6">
    <w:name w:val="heading 6"/>
    <w:basedOn w:val="a"/>
    <w:next w:val="a"/>
    <w:qFormat/>
    <w:rsid w:val="00EF7B96"/>
    <w:pPr>
      <w:spacing w:before="555" w:after="300" w:line="380" w:lineRule="atLeast"/>
      <w:outlineLvl w:val="5"/>
    </w:pPr>
    <w:rPr>
      <w:rFonts w:ascii="Arial" w:eastAsia="Arial" w:hAnsi="Arial" w:cs="Arial"/>
      <w:b/>
      <w:bCs/>
      <w:sz w:val="38"/>
      <w:szCs w:val="3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red">
    <w:name w:val="red"/>
    <w:basedOn w:val="a"/>
    <w:rPr>
      <w:color w:val="ED145B"/>
    </w:rPr>
  </w:style>
  <w:style w:type="paragraph" w:customStyle="1" w:styleId="letter">
    <w:name w:val="letter"/>
    <w:basedOn w:val="a"/>
  </w:style>
  <w:style w:type="paragraph" w:customStyle="1" w:styleId="quiz-title">
    <w:name w:val="quiz-title"/>
    <w:basedOn w:val="a"/>
    <w:pPr>
      <w:shd w:val="clear" w:color="auto" w:fill="000000"/>
    </w:pPr>
    <w:rPr>
      <w:color w:val="FFFFFF"/>
      <w:shd w:val="clear" w:color="auto" w:fill="000000"/>
    </w:rPr>
  </w:style>
  <w:style w:type="paragraph" w:customStyle="1" w:styleId="footlink">
    <w:name w:val="footlink"/>
    <w:basedOn w:val="a"/>
  </w:style>
  <w:style w:type="paragraph" w:customStyle="1" w:styleId="table-td">
    <w:name w:val="table-td"/>
    <w:basedOn w:val="a"/>
    <w:pPr>
      <w:spacing w:line="270" w:lineRule="atLeast"/>
    </w:pPr>
    <w:rPr>
      <w:rFonts w:ascii="Arial" w:eastAsia="Arial" w:hAnsi="Arial" w:cs="Arial"/>
    </w:rPr>
  </w:style>
  <w:style w:type="paragraph" w:customStyle="1" w:styleId="newsmaker-header">
    <w:name w:val="newsmaker-header"/>
    <w:basedOn w:val="a"/>
  </w:style>
  <w:style w:type="paragraph" w:customStyle="1" w:styleId="quiz2-question-p">
    <w:name w:val="quiz2-question-p"/>
    <w:basedOn w:val="a"/>
    <w:rPr>
      <w:rFonts w:ascii="Arial" w:eastAsia="Arial" w:hAnsi="Arial" w:cs="Arial"/>
      <w:color w:val="403D32"/>
    </w:rPr>
  </w:style>
  <w:style w:type="paragraph" w:customStyle="1" w:styleId="example-h-b">
    <w:name w:val="example-h-b"/>
    <w:basedOn w:val="a"/>
    <w:pPr>
      <w:spacing w:line="270" w:lineRule="atLeast"/>
    </w:pPr>
    <w:rPr>
      <w:rFonts w:ascii="Arial" w:eastAsia="Arial" w:hAnsi="Arial" w:cs="Arial"/>
      <w:caps/>
      <w:sz w:val="18"/>
      <w:szCs w:val="18"/>
    </w:rPr>
  </w:style>
  <w:style w:type="paragraph" w:customStyle="1" w:styleId="foottext">
    <w:name w:val="foottext"/>
    <w:basedOn w:val="a"/>
  </w:style>
  <w:style w:type="paragraph" w:customStyle="1" w:styleId="sticker-p">
    <w:name w:val="sticker-p"/>
    <w:basedOn w:val="a"/>
    <w:pPr>
      <w:spacing w:line="270" w:lineRule="atLeast"/>
    </w:pPr>
    <w:rPr>
      <w:rFonts w:ascii="Arial" w:eastAsia="Arial" w:hAnsi="Arial" w:cs="Arial"/>
    </w:rPr>
  </w:style>
  <w:style w:type="paragraph" w:customStyle="1" w:styleId="complexheader-p">
    <w:name w:val="complexheader-p"/>
    <w:basedOn w:val="a"/>
  </w:style>
  <w:style w:type="paragraph" w:customStyle="1" w:styleId="hightlightp">
    <w:name w:val="hightlightp"/>
    <w:basedOn w:val="a"/>
  </w:style>
  <w:style w:type="paragraph" w:customStyle="1" w:styleId="remark-p">
    <w:name w:val="remark-p"/>
    <w:basedOn w:val="a"/>
    <w:rPr>
      <w:sz w:val="18"/>
      <w:szCs w:val="18"/>
    </w:rPr>
  </w:style>
  <w:style w:type="paragraph" w:customStyle="1" w:styleId="complextext-p">
    <w:name w:val="complextext-p"/>
    <w:basedOn w:val="a"/>
  </w:style>
  <w:style w:type="paragraph" w:customStyle="1" w:styleId="electron-p">
    <w:name w:val="electron-p"/>
    <w:basedOn w:val="a"/>
    <w:rPr>
      <w:rFonts w:ascii="Times New Roman" w:eastAsia="Times New Roman" w:hAnsi="Times New Roman" w:cs="Times New Roman"/>
      <w:sz w:val="24"/>
      <w:szCs w:val="24"/>
    </w:rPr>
  </w:style>
  <w:style w:type="paragraph" w:customStyle="1" w:styleId="quot">
    <w:name w:val="quot"/>
    <w:basedOn w:val="a"/>
  </w:style>
  <w:style w:type="paragraph" w:customStyle="1" w:styleId="strong">
    <w:name w:val="strong"/>
    <w:basedOn w:val="a"/>
    <w:rPr>
      <w:b/>
      <w:bCs/>
    </w:rPr>
  </w:style>
  <w:style w:type="paragraph" w:customStyle="1" w:styleId="footnote">
    <w:name w:val="footnote"/>
    <w:basedOn w:val="a"/>
    <w:pPr>
      <w:spacing w:line="220" w:lineRule="atLeast"/>
    </w:pPr>
    <w:rPr>
      <w:rFonts w:ascii="Arial" w:eastAsia="Arial" w:hAnsi="Arial" w:cs="Arial"/>
      <w:sz w:val="16"/>
      <w:szCs w:val="16"/>
    </w:rPr>
  </w:style>
  <w:style w:type="paragraph" w:customStyle="1" w:styleId="newsmaker-p">
    <w:name w:val="newsmaker-p"/>
    <w:basedOn w:val="a"/>
  </w:style>
  <w:style w:type="paragraph" w:customStyle="1" w:styleId="inline-h3">
    <w:name w:val="inline-h3"/>
    <w:basedOn w:val="a"/>
    <w:pPr>
      <w:spacing w:after="180"/>
    </w:pPr>
    <w:rPr>
      <w:rFonts w:ascii="Arial" w:eastAsia="Arial" w:hAnsi="Arial" w:cs="Arial"/>
      <w:b/>
      <w:bCs/>
    </w:rPr>
  </w:style>
  <w:style w:type="paragraph" w:customStyle="1" w:styleId="cbody-b">
    <w:name w:val="cbody-b"/>
    <w:basedOn w:val="a"/>
    <w:pPr>
      <w:spacing w:line="800" w:lineRule="atLeast"/>
    </w:pPr>
    <w:rPr>
      <w:rFonts w:ascii="Arial" w:eastAsia="Arial" w:hAnsi="Arial" w:cs="Arial"/>
      <w:color w:val="A166C1"/>
      <w:sz w:val="80"/>
      <w:szCs w:val="80"/>
    </w:rPr>
  </w:style>
  <w:style w:type="paragraph" w:customStyle="1" w:styleId="inline-author-p-color">
    <w:name w:val="inline-author-p-color"/>
    <w:basedOn w:val="a"/>
    <w:rPr>
      <w:b/>
      <w:bCs/>
    </w:rPr>
  </w:style>
  <w:style w:type="paragraph" w:customStyle="1" w:styleId="example-h-color">
    <w:name w:val="example-h-color"/>
    <w:basedOn w:val="a"/>
    <w:pPr>
      <w:spacing w:line="270" w:lineRule="atLeast"/>
    </w:pPr>
    <w:rPr>
      <w:rFonts w:ascii="Arial" w:eastAsia="Arial" w:hAnsi="Arial" w:cs="Arial"/>
      <w:caps/>
      <w:sz w:val="18"/>
      <w:szCs w:val="18"/>
    </w:rPr>
  </w:style>
  <w:style w:type="paragraph" w:customStyle="1" w:styleId="good-text">
    <w:name w:val="good-text"/>
    <w:basedOn w:val="a"/>
    <w:rPr>
      <w:color w:val="1F7D1F"/>
    </w:rPr>
  </w:style>
  <w:style w:type="paragraph" w:customStyle="1" w:styleId="highlighted">
    <w:name w:val="highlighted"/>
    <w:basedOn w:val="a"/>
    <w:pPr>
      <w:shd w:val="clear" w:color="auto" w:fill="D0B3E0"/>
    </w:pPr>
    <w:rPr>
      <w:shd w:val="clear" w:color="auto" w:fill="D0B3E0"/>
    </w:rPr>
  </w:style>
  <w:style w:type="paragraph" w:customStyle="1" w:styleId="inline-p">
    <w:name w:val="inline-p"/>
    <w:basedOn w:val="a"/>
    <w:rPr>
      <w:rFonts w:ascii="Arial" w:eastAsia="Arial" w:hAnsi="Arial" w:cs="Arial"/>
      <w:sz w:val="19"/>
      <w:szCs w:val="19"/>
    </w:rPr>
  </w:style>
  <w:style w:type="paragraph" w:customStyle="1" w:styleId="Ul">
    <w:name w:val="Ul"/>
    <w:basedOn w:val="a"/>
  </w:style>
  <w:style w:type="paragraph" w:customStyle="1" w:styleId="sticker-a">
    <w:name w:val="sticker-a"/>
    <w:basedOn w:val="a"/>
    <w:rPr>
      <w:color w:val="ED145B"/>
    </w:rPr>
  </w:style>
  <w:style w:type="paragraph" w:customStyle="1" w:styleId="lineheader">
    <w:name w:val="lineheader"/>
    <w:basedOn w:val="a"/>
  </w:style>
  <w:style w:type="paragraph" w:customStyle="1" w:styleId="example-p">
    <w:name w:val="example-p"/>
    <w:basedOn w:val="a"/>
    <w:rPr>
      <w:rFonts w:ascii="Arial" w:eastAsia="Arial" w:hAnsi="Arial" w:cs="Arial"/>
      <w:sz w:val="19"/>
      <w:szCs w:val="19"/>
    </w:rPr>
  </w:style>
  <w:style w:type="paragraph" w:customStyle="1" w:styleId="inline-author-p">
    <w:name w:val="inline-author-p"/>
    <w:basedOn w:val="a"/>
    <w:rPr>
      <w:sz w:val="18"/>
      <w:szCs w:val="18"/>
    </w:rPr>
  </w:style>
  <w:style w:type="paragraph" w:customStyle="1" w:styleId="cbody-p">
    <w:name w:val="cbody-p"/>
    <w:basedOn w:val="a"/>
  </w:style>
  <w:style w:type="paragraph" w:customStyle="1" w:styleId="superfootnote">
    <w:name w:val="superfootnote"/>
    <w:basedOn w:val="a"/>
  </w:style>
  <w:style w:type="paragraph" w:customStyle="1" w:styleId="newsmaker-name">
    <w:name w:val="newsmaker-name"/>
    <w:basedOn w:val="a"/>
    <w:pPr>
      <w:spacing w:line="280" w:lineRule="atLeast"/>
    </w:pPr>
    <w:rPr>
      <w:rFonts w:ascii="Times New Roman" w:eastAsia="Times New Roman" w:hAnsi="Times New Roman" w:cs="Times New Roman"/>
      <w:b/>
      <w:bCs/>
      <w:sz w:val="25"/>
      <w:szCs w:val="25"/>
    </w:rPr>
  </w:style>
  <w:style w:type="paragraph" w:customStyle="1" w:styleId="example-h3">
    <w:name w:val="example-h3"/>
    <w:basedOn w:val="a"/>
    <w:rPr>
      <w:rFonts w:ascii="Arial" w:eastAsia="Arial" w:hAnsi="Arial" w:cs="Arial"/>
      <w:b/>
      <w:bCs/>
    </w:rPr>
  </w:style>
  <w:style w:type="paragraph" w:customStyle="1" w:styleId="link">
    <w:name w:val="link"/>
    <w:basedOn w:val="a"/>
    <w:rPr>
      <w:color w:val="008200"/>
    </w:rPr>
  </w:style>
  <w:style w:type="paragraph" w:customStyle="1" w:styleId="quiz2-title-h2">
    <w:name w:val="quiz2-title-h2"/>
    <w:basedOn w:val="a"/>
    <w:pPr>
      <w:spacing w:after="195"/>
    </w:pPr>
    <w:rPr>
      <w:rFonts w:ascii="Arial" w:eastAsia="Arial" w:hAnsi="Arial" w:cs="Arial"/>
      <w:color w:val="403D32"/>
      <w:sz w:val="44"/>
      <w:szCs w:val="44"/>
    </w:rPr>
  </w:style>
  <w:style w:type="paragraph" w:customStyle="1" w:styleId="blank-noteheader">
    <w:name w:val="blank-noteheader"/>
    <w:basedOn w:val="a"/>
    <w:rPr>
      <w:b/>
      <w:bCs/>
      <w:color w:val="E11F27"/>
      <w:sz w:val="23"/>
      <w:szCs w:val="23"/>
    </w:rPr>
  </w:style>
  <w:style w:type="paragraph" w:customStyle="1" w:styleId="Liinline-p">
    <w:name w:val="Li_inline-p"/>
    <w:basedOn w:val="a"/>
    <w:rPr>
      <w:rFonts w:ascii="Arial" w:eastAsia="Arial" w:hAnsi="Arial" w:cs="Arial"/>
      <w:sz w:val="19"/>
      <w:szCs w:val="19"/>
    </w:rPr>
  </w:style>
  <w:style w:type="paragraph" w:customStyle="1" w:styleId="Ol">
    <w:name w:val="Ol"/>
    <w:basedOn w:val="a"/>
  </w:style>
  <w:style w:type="paragraph" w:customStyle="1" w:styleId="bad-text">
    <w:name w:val="bad-text"/>
    <w:basedOn w:val="a"/>
    <w:rPr>
      <w:color w:val="BF0000"/>
    </w:rPr>
  </w:style>
  <w:style w:type="paragraph" w:customStyle="1" w:styleId="normal-text">
    <w:name w:val="normal-text"/>
    <w:basedOn w:val="a"/>
    <w:rPr>
      <w:color w:val="D17411"/>
    </w:rPr>
  </w:style>
  <w:style w:type="paragraph" w:customStyle="1" w:styleId="cbody-h3">
    <w:name w:val="cbody-h3"/>
    <w:basedOn w:val="a"/>
    <w:pPr>
      <w:spacing w:line="380" w:lineRule="atLeast"/>
    </w:pPr>
    <w:rPr>
      <w:rFonts w:ascii="Arial" w:eastAsia="Arial" w:hAnsi="Arial" w:cs="Arial"/>
      <w:b/>
      <w:bCs/>
      <w:color w:val="A166C1"/>
      <w:sz w:val="38"/>
      <w:szCs w:val="38"/>
    </w:rPr>
  </w:style>
  <w:style w:type="paragraph" w:customStyle="1" w:styleId="cbody-h2">
    <w:name w:val="cbody-h2"/>
    <w:basedOn w:val="a"/>
    <w:pPr>
      <w:spacing w:line="380" w:lineRule="atLeast"/>
    </w:pPr>
    <w:rPr>
      <w:b/>
      <w:bCs/>
      <w:i/>
      <w:iCs/>
      <w:sz w:val="38"/>
      <w:szCs w:val="38"/>
    </w:rPr>
  </w:style>
  <w:style w:type="paragraph" w:customStyle="1" w:styleId="newsmaker-info">
    <w:name w:val="newsmaker-info"/>
    <w:basedOn w:val="a"/>
  </w:style>
  <w:style w:type="paragraph" w:customStyle="1" w:styleId="quiz2-rightanswer">
    <w:name w:val="quiz2-rightanswer"/>
    <w:basedOn w:val="a"/>
    <w:rPr>
      <w:vanish/>
    </w:rPr>
  </w:style>
  <w:style w:type="paragraph" w:customStyle="1" w:styleId="table-thead-th">
    <w:name w:val="table-thead-th"/>
    <w:basedOn w:val="a"/>
    <w:pPr>
      <w:spacing w:line="270" w:lineRule="atLeast"/>
    </w:pPr>
    <w:rPr>
      <w:rFonts w:ascii="Arial" w:eastAsia="Arial" w:hAnsi="Arial" w:cs="Arial"/>
      <w:b/>
      <w:bCs/>
    </w:rPr>
  </w:style>
  <w:style w:type="paragraph" w:customStyle="1" w:styleId="storno">
    <w:name w:val="storno"/>
    <w:basedOn w:val="a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</w:pPr>
    <w:rPr>
      <w:bdr w:val="single" w:sz="6" w:space="0" w:color="000000"/>
    </w:rPr>
  </w:style>
  <w:style w:type="paragraph" w:customStyle="1" w:styleId="hidden">
    <w:name w:val="hidden"/>
    <w:basedOn w:val="a"/>
    <w:rPr>
      <w:vanish/>
    </w:rPr>
  </w:style>
  <w:style w:type="paragraph" w:customStyle="1" w:styleId="quiz2-answer">
    <w:name w:val="quiz2-answer"/>
    <w:basedOn w:val="a"/>
    <w:pPr>
      <w:spacing w:line="250" w:lineRule="atLeast"/>
    </w:pPr>
    <w:rPr>
      <w:rFonts w:ascii="Arial" w:eastAsia="Arial" w:hAnsi="Arial" w:cs="Arial"/>
      <w:color w:val="403D32"/>
      <w:sz w:val="18"/>
      <w:szCs w:val="18"/>
    </w:rPr>
  </w:style>
  <w:style w:type="paragraph" w:customStyle="1" w:styleId="remark-h3">
    <w:name w:val="remark-h3"/>
    <w:basedOn w:val="a"/>
    <w:pPr>
      <w:spacing w:line="270" w:lineRule="atLeast"/>
    </w:pPr>
    <w:rPr>
      <w:rFonts w:ascii="Arial" w:eastAsia="Arial" w:hAnsi="Arial" w:cs="Arial"/>
      <w:b/>
      <w:bCs/>
    </w:rPr>
  </w:style>
  <w:style w:type="paragraph" w:customStyle="1" w:styleId="inquirer-p-a">
    <w:name w:val="inquirer-p-a"/>
    <w:basedOn w:val="a"/>
    <w:rPr>
      <w:color w:val="1252A1"/>
    </w:rPr>
  </w:style>
  <w:style w:type="paragraph" w:customStyle="1" w:styleId="quiz-rightanswer">
    <w:name w:val="quiz-rightanswer"/>
    <w:basedOn w:val="a"/>
    <w:pPr>
      <w:shd w:val="clear" w:color="auto" w:fill="F8F6EB"/>
      <w:spacing w:line="260" w:lineRule="atLeast"/>
    </w:pPr>
    <w:rPr>
      <w:rFonts w:ascii="Arial" w:eastAsia="Arial" w:hAnsi="Arial" w:cs="Arial"/>
      <w:sz w:val="19"/>
      <w:szCs w:val="19"/>
      <w:shd w:val="clear" w:color="auto" w:fill="F8F6EB"/>
    </w:rPr>
  </w:style>
  <w:style w:type="character" w:customStyle="1" w:styleId="Spanlink">
    <w:name w:val="Span_link"/>
    <w:basedOn w:val="a0"/>
    <w:rPr>
      <w:color w:val="0082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1114</Words>
  <Characters>6352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Galya</dc:creator>
  <cp:lastModifiedBy>Galya</cp:lastModifiedBy>
  <cp:revision>2</cp:revision>
  <cp:lastPrinted>1601-01-01T00:00:00Z</cp:lastPrinted>
  <dcterms:created xsi:type="dcterms:W3CDTF">2018-07-02T07:53:00Z</dcterms:created>
  <dcterms:modified xsi:type="dcterms:W3CDTF">2018-07-02T07:53:00Z</dcterms:modified>
</cp:coreProperties>
</file>