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560E1">
      <w:pPr>
        <w:pStyle w:val="electron-p"/>
        <w:spacing w:after="280" w:afterAutospacing="1"/>
      </w:pPr>
      <w:r>
        <w:t>Электронный журнал</w:t>
      </w:r>
    </w:p>
    <w:p w:rsidR="00000000" w:rsidRDefault="00496D8E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60E1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5560E1">
      <w:pPr>
        <w:spacing w:after="280" w:afterAutospacing="1"/>
      </w:pPr>
      <w:r>
        <w:t>Обучение по охране труда / нормативные акты</w:t>
      </w:r>
    </w:p>
    <w:p w:rsidR="00000000" w:rsidRDefault="005560E1">
      <w:pPr>
        <w:spacing w:after="280" w:afterAutospacing="1"/>
      </w:pPr>
      <w:r>
        <w:rPr>
          <w:b/>
          <w:bCs/>
        </w:rPr>
        <w:t>Чем новый ГОСТ по обучению отличается от старого</w:t>
      </w:r>
    </w:p>
    <w:p w:rsidR="00000000" w:rsidRDefault="005560E1">
      <w:pPr>
        <w:spacing w:after="280" w:afterAutospacing="1"/>
      </w:pPr>
      <w:r>
        <w:rPr>
          <w:b/>
          <w:bCs/>
        </w:rPr>
        <w:t>Николай АБРАМОВ</w:t>
      </w:r>
      <w:r>
        <w:br/>
        <w:t xml:space="preserve">канд. техн. наук, доцент, заместитель директора АНО УКЦ «Труд» </w:t>
      </w:r>
    </w:p>
    <w:p w:rsidR="00000000" w:rsidRDefault="005560E1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5560E1">
      <w:pPr>
        <w:pStyle w:val="Ol"/>
        <w:numPr>
          <w:ilvl w:val="0"/>
          <w:numId w:val="1"/>
        </w:numPr>
      </w:pPr>
      <w:r>
        <w:t>Новый ГОСТ учитывает современные техноло</w:t>
      </w:r>
      <w:r>
        <w:t>гии и международную практику обучения безопасности труда</w:t>
      </w:r>
    </w:p>
    <w:p w:rsidR="00000000" w:rsidRDefault="005560E1">
      <w:pPr>
        <w:pStyle w:val="Ol"/>
        <w:numPr>
          <w:ilvl w:val="0"/>
          <w:numId w:val="1"/>
        </w:numPr>
      </w:pPr>
      <w:r>
        <w:t>Определяет понятия "организатор обучения" и "обучающая организация"</w:t>
      </w:r>
    </w:p>
    <w:p w:rsidR="00000000" w:rsidRDefault="005560E1">
      <w:pPr>
        <w:pStyle w:val="Ol"/>
        <w:numPr>
          <w:ilvl w:val="0"/>
          <w:numId w:val="1"/>
        </w:numPr>
      </w:pPr>
      <w:r>
        <w:t>Вводит новые виды и формы обучения безопасному труду, расширяет состав обучающихся</w:t>
      </w:r>
    </w:p>
    <w:p w:rsidR="00000000" w:rsidRDefault="005560E1">
      <w:pPr>
        <w:pStyle w:val="Ol"/>
        <w:numPr>
          <w:ilvl w:val="0"/>
          <w:numId w:val="1"/>
        </w:numPr>
        <w:spacing w:after="280" w:afterAutospacing="1"/>
      </w:pPr>
      <w:r>
        <w:t xml:space="preserve">Меняет порядок регистрации результатов целевого </w:t>
      </w:r>
      <w:r>
        <w:t>инструктажа</w:t>
      </w:r>
    </w:p>
    <w:p w:rsidR="00000000" w:rsidRDefault="005560E1">
      <w:pPr>
        <w:spacing w:after="280" w:afterAutospacing="1"/>
      </w:pPr>
      <w:r>
        <w:br/>
      </w:r>
      <w:r>
        <w:br/>
      </w:r>
    </w:p>
    <w:p w:rsidR="00000000" w:rsidRDefault="005560E1">
      <w:pPr>
        <w:spacing w:after="280" w:afterAutospacing="1"/>
      </w:pPr>
      <w:r>
        <w:rPr>
          <w:rStyle w:val="Spanletter"/>
        </w:rPr>
        <w:t>В </w:t>
      </w:r>
      <w:r>
        <w:t xml:space="preserve">марте 2017 года начинает действовать новый Межгосударственный стандарт обучения безопасности труда </w:t>
      </w:r>
      <w:r>
        <w:rPr>
          <w:rStyle w:val="Spanlink"/>
          <w:u w:val="single"/>
        </w:rPr>
        <w:t>ГОСТ 12.0.004–2015</w:t>
      </w:r>
      <w:r>
        <w:t xml:space="preserve">. Положения старого </w:t>
      </w:r>
      <w:r>
        <w:rPr>
          <w:rStyle w:val="Spanlink"/>
          <w:u w:val="single"/>
        </w:rPr>
        <w:t>ГОСТ 12.0.004‑90</w:t>
      </w:r>
      <w:r>
        <w:t xml:space="preserve"> в нем отредактированы и дополнены с учетом развивающихся технологий и международной п</w:t>
      </w:r>
      <w:r>
        <w:t xml:space="preserve">рактики обучения безопасности труда. </w:t>
      </w:r>
    </w:p>
    <w:p w:rsidR="00000000" w:rsidRDefault="005560E1">
      <w:pPr>
        <w:spacing w:after="280" w:afterAutospacing="1"/>
      </w:pPr>
      <w:r>
        <w:t>Новый госстандарт:</w:t>
      </w:r>
    </w:p>
    <w:p w:rsidR="00000000" w:rsidRDefault="005560E1">
      <w:pPr>
        <w:pStyle w:val="Ul"/>
        <w:numPr>
          <w:ilvl w:val="0"/>
          <w:numId w:val="2"/>
        </w:numPr>
      </w:pPr>
      <w:r>
        <w:t xml:space="preserve">устанавливает основные виды и формы обучения и проверки знаний по безопасности труда работников; </w:t>
      </w:r>
    </w:p>
    <w:p w:rsidR="00000000" w:rsidRDefault="005560E1">
      <w:pPr>
        <w:pStyle w:val="Ul"/>
        <w:numPr>
          <w:ilvl w:val="0"/>
          <w:numId w:val="2"/>
        </w:numPr>
      </w:pPr>
      <w:r>
        <w:t>распространяется на все юридические и физические лица, связанные с трудовой деятельностью, а также с </w:t>
      </w:r>
      <w:r>
        <w:t xml:space="preserve">обучением подрастающего поколения; </w:t>
      </w:r>
    </w:p>
    <w:p w:rsidR="00000000" w:rsidRDefault="005560E1">
      <w:pPr>
        <w:pStyle w:val="Ul"/>
        <w:numPr>
          <w:ilvl w:val="0"/>
          <w:numId w:val="2"/>
        </w:numPr>
      </w:pPr>
      <w:r>
        <w:t>расширяет виды и формы обучения, категории обучаемых лиц;</w:t>
      </w:r>
    </w:p>
    <w:p w:rsidR="00000000" w:rsidRDefault="005560E1">
      <w:pPr>
        <w:pStyle w:val="Ul"/>
        <w:numPr>
          <w:ilvl w:val="0"/>
          <w:numId w:val="2"/>
        </w:numPr>
        <w:spacing w:after="280" w:afterAutospacing="1"/>
      </w:pPr>
      <w:r>
        <w:t>представляет программы обучения безопасности труда.</w:t>
      </w:r>
    </w:p>
    <w:p w:rsidR="00000000" w:rsidRDefault="005560E1">
      <w:pPr>
        <w:pStyle w:val="2"/>
        <w:spacing w:after="280" w:afterAutospacing="1"/>
      </w:pPr>
      <w:r>
        <w:lastRenderedPageBreak/>
        <w:t>Раздвинуты границы учебного процесса</w:t>
      </w:r>
    </w:p>
    <w:p w:rsidR="00000000" w:rsidRDefault="005560E1">
      <w:pPr>
        <w:spacing w:after="280" w:afterAutospacing="1"/>
      </w:pPr>
      <w:r>
        <w:t>ГОСТ 12.0.004–2015 значительно объемнее своего предшественника. Он описыв</w:t>
      </w:r>
      <w:r>
        <w:t xml:space="preserve">ает множество видов и форм обучения, которые стали возможными благодаря современным IT-технологиям. Даже при беглом взгляде на оглавление видно, что документ охватывает обучение безопасности труда в разные периоды учебной и трудовой деятельности человека. </w:t>
      </w:r>
      <w:r>
        <w:t xml:space="preserve">Разделы описывают особенности обучения безопасному труду: </w:t>
      </w:r>
    </w:p>
    <w:p w:rsidR="00000000" w:rsidRDefault="005560E1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5560E1">
      <w:pPr>
        <w:pStyle w:val="H3remark-h3"/>
        <w:spacing w:after="280" w:afterAutospacing="1"/>
      </w:pPr>
      <w:r>
        <w:t>Важно</w:t>
      </w:r>
    </w:p>
    <w:p w:rsidR="00000000" w:rsidRDefault="005560E1">
      <w:pPr>
        <w:pStyle w:val="remark-p"/>
        <w:spacing w:after="280" w:afterAutospacing="1"/>
      </w:pPr>
      <w:r>
        <w:t xml:space="preserve">Обучение охране труда отнесено к виду экономической деятельности по дополнительному профессиональному образованию и имеет кодовое обозначение 85.42.9 </w:t>
      </w:r>
    </w:p>
    <w:p w:rsidR="00000000" w:rsidRDefault="005560E1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5560E1"/>
    <w:p w:rsidR="00000000" w:rsidRDefault="005560E1">
      <w:pPr>
        <w:pStyle w:val="Ul"/>
        <w:numPr>
          <w:ilvl w:val="0"/>
          <w:numId w:val="3"/>
        </w:numPr>
      </w:pPr>
      <w:r>
        <w:t>в ходе учебно-воспитательного проце</w:t>
      </w:r>
      <w:r>
        <w:t>сса и учебных занятий;</w:t>
      </w:r>
    </w:p>
    <w:p w:rsidR="00000000" w:rsidRDefault="005560E1">
      <w:pPr>
        <w:pStyle w:val="Ul"/>
        <w:numPr>
          <w:ilvl w:val="0"/>
          <w:numId w:val="3"/>
        </w:numPr>
      </w:pPr>
      <w:r>
        <w:t>непосредственно на работе;</w:t>
      </w:r>
    </w:p>
    <w:p w:rsidR="00000000" w:rsidRDefault="005560E1">
      <w:pPr>
        <w:pStyle w:val="Ul"/>
        <w:numPr>
          <w:ilvl w:val="0"/>
          <w:numId w:val="3"/>
        </w:numPr>
      </w:pPr>
      <w:r>
        <w:t>в обучающих организациях;</w:t>
      </w:r>
    </w:p>
    <w:p w:rsidR="00000000" w:rsidRDefault="005560E1">
      <w:pPr>
        <w:pStyle w:val="Ul"/>
        <w:numPr>
          <w:ilvl w:val="0"/>
          <w:numId w:val="3"/>
        </w:numPr>
      </w:pPr>
      <w:r>
        <w:t>в форме инструктажа;</w:t>
      </w:r>
    </w:p>
    <w:p w:rsidR="00000000" w:rsidRDefault="005560E1">
      <w:pPr>
        <w:pStyle w:val="Ul"/>
        <w:numPr>
          <w:ilvl w:val="0"/>
          <w:numId w:val="3"/>
        </w:numPr>
      </w:pPr>
      <w:r>
        <w:t>в форме индивидуальной стажировки на рабочем месте;</w:t>
      </w:r>
    </w:p>
    <w:p w:rsidR="00000000" w:rsidRDefault="005560E1">
      <w:pPr>
        <w:pStyle w:val="Ul"/>
        <w:numPr>
          <w:ilvl w:val="0"/>
          <w:numId w:val="3"/>
        </w:numPr>
      </w:pPr>
      <w:r>
        <w:t>в форме проверки знаний;</w:t>
      </w:r>
    </w:p>
    <w:p w:rsidR="00000000" w:rsidRDefault="005560E1">
      <w:pPr>
        <w:pStyle w:val="Ul"/>
        <w:numPr>
          <w:ilvl w:val="0"/>
          <w:numId w:val="3"/>
        </w:numPr>
      </w:pPr>
      <w:r>
        <w:t>в виде специального обучения безопасным методам и приемам выполнения работ;</w:t>
      </w:r>
    </w:p>
    <w:p w:rsidR="00000000" w:rsidRDefault="005560E1">
      <w:pPr>
        <w:pStyle w:val="Ul"/>
        <w:numPr>
          <w:ilvl w:val="0"/>
          <w:numId w:val="3"/>
        </w:numPr>
      </w:pPr>
      <w:r>
        <w:t>в виде</w:t>
      </w:r>
      <w:r>
        <w:t xml:space="preserve"> специального обучения приемам оказания первой помощи пострадавшим;</w:t>
      </w:r>
    </w:p>
    <w:p w:rsidR="00000000" w:rsidRDefault="005560E1">
      <w:pPr>
        <w:pStyle w:val="Ul"/>
        <w:numPr>
          <w:ilvl w:val="0"/>
          <w:numId w:val="3"/>
        </w:numPr>
        <w:spacing w:after="280" w:afterAutospacing="1"/>
      </w:pPr>
      <w:r>
        <w:t>в форме отдельного курса обучения с итоговой проверкой знаний.</w:t>
      </w:r>
    </w:p>
    <w:p w:rsidR="00000000" w:rsidRDefault="005560E1">
      <w:pPr>
        <w:spacing w:after="280" w:afterAutospacing="1"/>
      </w:pPr>
      <w:r>
        <w:t>Большое внимание ГОСТ уделяет организации процесса обучения: методам, способам, порядку, программам обучения и формам контрол</w:t>
      </w:r>
      <w:r>
        <w:t xml:space="preserve">я знаний. </w:t>
      </w:r>
    </w:p>
    <w:p w:rsidR="00000000" w:rsidRDefault="005560E1">
      <w:pPr>
        <w:pStyle w:val="2"/>
        <w:spacing w:after="280" w:afterAutospacing="1"/>
      </w:pPr>
      <w:r>
        <w:t>Введены новые понятия</w:t>
      </w:r>
    </w:p>
    <w:p w:rsidR="00000000" w:rsidRDefault="005560E1">
      <w:pPr>
        <w:spacing w:after="280" w:afterAutospacing="1"/>
      </w:pPr>
      <w:r>
        <w:t xml:space="preserve">ГОСТ 12.0.004–2015 вводит новые понятия, которых не было в прежнем стандарте. Это такие </w:t>
      </w:r>
      <w:r>
        <w:rPr>
          <w:rStyle w:val="Spanlink"/>
          <w:u w:val="single"/>
        </w:rPr>
        <w:t>понятия</w:t>
      </w:r>
      <w:r>
        <w:t xml:space="preserve">, как «организатор обучения» и «обучающая организация». </w:t>
      </w:r>
    </w:p>
    <w:p w:rsidR="00000000" w:rsidRDefault="005560E1">
      <w:pPr>
        <w:spacing w:after="280" w:afterAutospacing="1"/>
      </w:pPr>
      <w:r>
        <w:t>Организатором обучения называется организация или индивидуальный предпр</w:t>
      </w:r>
      <w:r>
        <w:t xml:space="preserve">иниматель, которые организуют и проводят обучение и проверку знаний: </w:t>
      </w:r>
    </w:p>
    <w:p w:rsidR="00000000" w:rsidRDefault="005560E1">
      <w:pPr>
        <w:pStyle w:val="Ul"/>
        <w:numPr>
          <w:ilvl w:val="0"/>
          <w:numId w:val="4"/>
        </w:numPr>
      </w:pPr>
      <w:r>
        <w:t>своих работников как работодатель;</w:t>
      </w:r>
    </w:p>
    <w:p w:rsidR="00000000" w:rsidRDefault="005560E1">
      <w:pPr>
        <w:pStyle w:val="Ul"/>
        <w:numPr>
          <w:ilvl w:val="0"/>
          <w:numId w:val="4"/>
        </w:numPr>
        <w:spacing w:after="280" w:afterAutospacing="1"/>
      </w:pPr>
      <w:r>
        <w:lastRenderedPageBreak/>
        <w:t xml:space="preserve">иных работающих, включая персонал подрядчиков, как организатор производства, на котором они работают. </w:t>
      </w:r>
    </w:p>
    <w:p w:rsidR="00000000" w:rsidRDefault="005560E1">
      <w:pPr>
        <w:spacing w:after="280" w:afterAutospacing="1"/>
      </w:pPr>
      <w:r>
        <w:t>Обучающая организация — это организация, имеющая</w:t>
      </w:r>
      <w:r>
        <w:t xml:space="preserve"> законное право оказывать сторонним организациям и лицам услуги: </w:t>
      </w:r>
    </w:p>
    <w:p w:rsidR="00000000" w:rsidRDefault="005560E1">
      <w:pPr>
        <w:pStyle w:val="Ul"/>
        <w:numPr>
          <w:ilvl w:val="0"/>
          <w:numId w:val="5"/>
        </w:numPr>
      </w:pPr>
      <w:r>
        <w:t>по обучению и проверке знаний;</w:t>
      </w:r>
    </w:p>
    <w:p w:rsidR="00000000" w:rsidRDefault="005560E1">
      <w:pPr>
        <w:pStyle w:val="Ul"/>
        <w:numPr>
          <w:ilvl w:val="0"/>
          <w:numId w:val="5"/>
        </w:numPr>
        <w:spacing w:after="280" w:afterAutospacing="1"/>
      </w:pPr>
      <w:r>
        <w:t>вопросам безопасности труда, охраны труда, безопасности производства.</w:t>
      </w:r>
    </w:p>
    <w:p w:rsidR="00000000" w:rsidRDefault="005560E1">
      <w:pPr>
        <w:pStyle w:val="2"/>
        <w:spacing w:after="280" w:afterAutospacing="1"/>
      </w:pPr>
      <w:r>
        <w:t>Уточнен и расширен состав обучающихся</w:t>
      </w:r>
    </w:p>
    <w:p w:rsidR="00000000" w:rsidRDefault="005560E1">
      <w:pPr>
        <w:spacing w:after="280" w:afterAutospacing="1"/>
      </w:pPr>
      <w:r>
        <w:t>ГОСТ 12.0.004–2015 расширяет состав обучающихся. Ос</w:t>
      </w:r>
      <w:r>
        <w:t xml:space="preserve">новными группами лиц, которые проходят обучение безопасности труда, являются: </w:t>
      </w:r>
    </w:p>
    <w:p w:rsidR="00000000" w:rsidRDefault="005560E1">
      <w:pPr>
        <w:pStyle w:val="Ul"/>
        <w:numPr>
          <w:ilvl w:val="0"/>
          <w:numId w:val="6"/>
        </w:numPr>
      </w:pPr>
      <w:r>
        <w:t xml:space="preserve">руководители всех уровней и рангов, занятые управлением, в том числе безопасностью и (или) охраной труда; </w:t>
      </w:r>
    </w:p>
    <w:p w:rsidR="00000000" w:rsidRDefault="005560E1">
      <w:pPr>
        <w:pStyle w:val="Ul"/>
        <w:numPr>
          <w:ilvl w:val="0"/>
          <w:numId w:val="6"/>
        </w:numPr>
      </w:pPr>
      <w:r>
        <w:t>специалисты, помогающие руководителям всех уровней и рангов, занятым у</w:t>
      </w:r>
      <w:r>
        <w:t xml:space="preserve">правлением, в том числе безопасностью и (или) охраной труда; </w:t>
      </w:r>
    </w:p>
    <w:p w:rsidR="00000000" w:rsidRDefault="005560E1">
      <w:pPr>
        <w:pStyle w:val="Ul"/>
        <w:numPr>
          <w:ilvl w:val="0"/>
          <w:numId w:val="6"/>
        </w:numPr>
      </w:pPr>
      <w:r>
        <w:t xml:space="preserve">лица, привлекаемые к управлению охраной труда на общественных началах в различного рода комиссиях, комитетах, а также представители работников; </w:t>
      </w:r>
    </w:p>
    <w:p w:rsidR="00000000" w:rsidRDefault="005560E1">
      <w:pPr>
        <w:pStyle w:val="Ul"/>
        <w:numPr>
          <w:ilvl w:val="0"/>
          <w:numId w:val="6"/>
        </w:numPr>
      </w:pPr>
      <w:r>
        <w:t>самозанятые лица, организующие безопасное выполне</w:t>
      </w:r>
      <w:r>
        <w:t xml:space="preserve">ние работ и безопасность своего труда самостоятельно; </w:t>
      </w:r>
    </w:p>
    <w:p w:rsidR="00000000" w:rsidRDefault="005560E1">
      <w:pPr>
        <w:pStyle w:val="Ul"/>
        <w:numPr>
          <w:ilvl w:val="0"/>
          <w:numId w:val="6"/>
        </w:numPr>
      </w:pPr>
      <w:r>
        <w:t xml:space="preserve">специалисты по охране труда, профессионально занятые управлением охраной труда и (или) безопасностью труда; </w:t>
      </w:r>
    </w:p>
    <w:p w:rsidR="00000000" w:rsidRDefault="005560E1">
      <w:pPr>
        <w:pStyle w:val="Ul"/>
        <w:numPr>
          <w:ilvl w:val="0"/>
          <w:numId w:val="6"/>
        </w:numPr>
        <w:spacing w:after="280" w:afterAutospacing="1"/>
      </w:pPr>
      <w:r>
        <w:t xml:space="preserve">лица, не участвующие в управлении и занятые простым процессом труда, безопасным выполнением </w:t>
      </w:r>
      <w:r>
        <w:t xml:space="preserve">своей трудовой функции. </w:t>
      </w:r>
    </w:p>
    <w:p w:rsidR="00000000" w:rsidRDefault="005560E1">
      <w:pPr>
        <w:spacing w:after="280" w:afterAutospacing="1"/>
      </w:pPr>
      <w:r>
        <w:t>Из этих групп формируются подгруппы по профессиональному признаку, например:</w:t>
      </w:r>
    </w:p>
    <w:p w:rsidR="00000000" w:rsidRDefault="005560E1">
      <w:pPr>
        <w:pStyle w:val="Ul"/>
        <w:numPr>
          <w:ilvl w:val="0"/>
          <w:numId w:val="7"/>
        </w:numPr>
      </w:pPr>
      <w:r>
        <w:t>члены постоянно действующих у работодателя комиссий по проверке знаний требований охраны труда работников, а также работники, участвующие в организации и </w:t>
      </w:r>
      <w:r>
        <w:t xml:space="preserve">проведении процесса обучения у работодателя, включая инструктажи (инструкторы по охране труда); </w:t>
      </w:r>
    </w:p>
    <w:p w:rsidR="00000000" w:rsidRDefault="005560E1">
      <w:pPr>
        <w:pStyle w:val="Ul"/>
        <w:numPr>
          <w:ilvl w:val="0"/>
          <w:numId w:val="7"/>
        </w:numPr>
        <w:spacing w:after="280" w:afterAutospacing="1"/>
      </w:pPr>
      <w:r>
        <w:t>педагогические работники образовательных учреждений и организаций — преподаватели дисциплин «Охрана труда», «Безопасность жизнедеятельности», «Безопасность тех</w:t>
      </w:r>
      <w:r>
        <w:t xml:space="preserve">нологических процессов и производств», «Техносферная безопасность» и т. п. </w:t>
      </w:r>
    </w:p>
    <w:p w:rsidR="00000000" w:rsidRDefault="005560E1">
      <w:pPr>
        <w:spacing w:after="280" w:afterAutospacing="1"/>
      </w:pPr>
      <w:r>
        <w:lastRenderedPageBreak/>
        <w:t xml:space="preserve">Для каждой группы обучающие организации составляют программы с учетом специфики профессиональной деятельности слушателей. </w:t>
      </w:r>
    </w:p>
    <w:p w:rsidR="00000000" w:rsidRDefault="005560E1">
      <w:pPr>
        <w:pStyle w:val="2"/>
        <w:spacing w:after="280" w:afterAutospacing="1"/>
      </w:pPr>
      <w:r>
        <w:t>Утверждены нестандартные формы обучения</w:t>
      </w:r>
    </w:p>
    <w:p w:rsidR="00000000" w:rsidRDefault="005560E1">
      <w:pPr>
        <w:spacing w:after="280" w:afterAutospacing="1"/>
      </w:pPr>
      <w:r>
        <w:t>Прежний госстанда</w:t>
      </w:r>
      <w:r>
        <w:t>рт не делает различий между формами обучения. Отдельным пунктом в нем лишь перечислено, где его можно проводить: в учебных лабораториях, мастерских, участках, цехах и т. п. (</w:t>
      </w:r>
      <w:r>
        <w:rPr>
          <w:rStyle w:val="Spanlink"/>
          <w:u w:val="single"/>
        </w:rPr>
        <w:t>п 3.4</w:t>
      </w:r>
      <w:r>
        <w:t xml:space="preserve"> ГОСТ 12.0.004–90). Новый ГОСТ содержит подробные описания девяти форм обучен</w:t>
      </w:r>
      <w:r>
        <w:t xml:space="preserve">ия безопасному труду, а именно: </w:t>
      </w:r>
    </w:p>
    <w:p w:rsidR="00000000" w:rsidRDefault="005560E1">
      <w:pPr>
        <w:pStyle w:val="Ul"/>
        <w:numPr>
          <w:ilvl w:val="0"/>
          <w:numId w:val="8"/>
        </w:numPr>
      </w:pPr>
      <w:r>
        <w:t xml:space="preserve">традиционное обучение в аудитории обучающего центра (лекции, семинары, практические занятия, тренинги, лабораторные работы); </w:t>
      </w:r>
    </w:p>
    <w:p w:rsidR="00000000" w:rsidRDefault="005560E1">
      <w:pPr>
        <w:pStyle w:val="Ul"/>
        <w:numPr>
          <w:ilvl w:val="0"/>
          <w:numId w:val="8"/>
        </w:numPr>
      </w:pPr>
      <w:r>
        <w:t>аудиторное обучение за компьютерным обучающим комплексом;</w:t>
      </w:r>
    </w:p>
    <w:p w:rsidR="00000000" w:rsidRDefault="005560E1">
      <w:pPr>
        <w:pStyle w:val="Ul"/>
        <w:numPr>
          <w:ilvl w:val="0"/>
          <w:numId w:val="8"/>
        </w:numPr>
      </w:pPr>
      <w:r>
        <w:t>дистанционное обучение;</w:t>
      </w:r>
    </w:p>
    <w:p w:rsidR="00000000" w:rsidRDefault="005560E1">
      <w:pPr>
        <w:pStyle w:val="Ul"/>
        <w:numPr>
          <w:ilvl w:val="0"/>
          <w:numId w:val="8"/>
        </w:numPr>
      </w:pPr>
      <w:r>
        <w:t>обучение приема</w:t>
      </w:r>
      <w:r>
        <w:t xml:space="preserve">м и получение устойчивых практических навыков правильного безопасного выполнения трудовых операций на тренажерах и (или) на учебных рабочих местах; </w:t>
      </w:r>
    </w:p>
    <w:p w:rsidR="00000000" w:rsidRDefault="005560E1">
      <w:pPr>
        <w:pStyle w:val="Ul"/>
        <w:numPr>
          <w:ilvl w:val="0"/>
          <w:numId w:val="8"/>
        </w:numPr>
      </w:pPr>
      <w:r>
        <w:t>обучение приемам и получение устойчивых практических навыков оказания первой помощи пострадавшим на тренаже</w:t>
      </w:r>
      <w:r>
        <w:t xml:space="preserve">рах и (или) манекенах; </w:t>
      </w:r>
    </w:p>
    <w:p w:rsidR="00000000" w:rsidRDefault="005560E1">
      <w:pPr>
        <w:pStyle w:val="Ul"/>
        <w:numPr>
          <w:ilvl w:val="0"/>
          <w:numId w:val="8"/>
        </w:numPr>
      </w:pPr>
      <w:r>
        <w:t>инструктаж;</w:t>
      </w:r>
    </w:p>
    <w:p w:rsidR="00000000" w:rsidRDefault="005560E1">
      <w:pPr>
        <w:pStyle w:val="Ul"/>
        <w:numPr>
          <w:ilvl w:val="0"/>
          <w:numId w:val="8"/>
        </w:numPr>
      </w:pPr>
      <w:r>
        <w:t>стажировка;</w:t>
      </w:r>
    </w:p>
    <w:p w:rsidR="00000000" w:rsidRDefault="005560E1">
      <w:pPr>
        <w:pStyle w:val="Ul"/>
        <w:numPr>
          <w:ilvl w:val="0"/>
          <w:numId w:val="8"/>
        </w:numPr>
      </w:pPr>
      <w:r>
        <w:t xml:space="preserve">проверка и самопроверка полученных и остаточных знаний, в том числе тестирование при помощи компьютерных средств; </w:t>
      </w:r>
    </w:p>
    <w:p w:rsidR="00000000" w:rsidRDefault="005560E1">
      <w:pPr>
        <w:pStyle w:val="Ul"/>
        <w:numPr>
          <w:ilvl w:val="0"/>
          <w:numId w:val="8"/>
        </w:numPr>
        <w:spacing w:after="280" w:afterAutospacing="1"/>
      </w:pPr>
      <w:r>
        <w:t>проверка и самопроверка полученных умений и навыков, в том числе в деловых играх и при помощи</w:t>
      </w:r>
      <w:r>
        <w:t xml:space="preserve"> тренажеров и манекенов. </w:t>
      </w:r>
    </w:p>
    <w:p w:rsidR="00000000" w:rsidRDefault="005560E1">
      <w:pPr>
        <w:pStyle w:val="2"/>
        <w:spacing w:after="280" w:afterAutospacing="1"/>
      </w:pPr>
      <w:r>
        <w:t>Пояснены варианты графиков обучения</w:t>
      </w:r>
    </w:p>
    <w:p w:rsidR="00000000" w:rsidRDefault="005560E1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5560E1">
      <w:pPr>
        <w:pStyle w:val="remark-p"/>
        <w:spacing w:after="280" w:afterAutospacing="1"/>
      </w:pPr>
      <w:r>
        <w:t xml:space="preserve">2380обучающих организаций </w:t>
      </w:r>
    </w:p>
    <w:p w:rsidR="00000000" w:rsidRDefault="005560E1">
      <w:pPr>
        <w:spacing w:after="280" w:afterAutospacing="1"/>
      </w:pPr>
      <w:r>
        <w:t>аккредитованы и внесены в реестр Минтруда России</w:t>
      </w:r>
    </w:p>
    <w:p w:rsidR="00000000" w:rsidRDefault="005560E1">
      <w:pPr>
        <w:spacing w:after="280" w:afterAutospacing="1"/>
      </w:pPr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5560E1"/>
    <w:p w:rsidR="00000000" w:rsidRDefault="005560E1">
      <w:pPr>
        <w:spacing w:after="280" w:afterAutospacing="1"/>
      </w:pPr>
      <w:r>
        <w:lastRenderedPageBreak/>
        <w:t>Для занятий в обучающей организации можно подобрать тот график, который удобнее совмещать с основной трудовой или</w:t>
      </w:r>
      <w:r>
        <w:t xml:space="preserve"> учебной деятельностью. Обучение может быть: </w:t>
      </w:r>
    </w:p>
    <w:p w:rsidR="00000000" w:rsidRDefault="005560E1">
      <w:pPr>
        <w:pStyle w:val="Ul"/>
        <w:numPr>
          <w:ilvl w:val="0"/>
          <w:numId w:val="9"/>
        </w:numPr>
      </w:pPr>
      <w:r>
        <w:t xml:space="preserve">классическое непрерывное до освоения всей программы и сдачи экзамена, собеседования или тестирования. Его проводят ежедневно в форме аудиторных занятий; </w:t>
      </w:r>
    </w:p>
    <w:p w:rsidR="00000000" w:rsidRDefault="005560E1">
      <w:pPr>
        <w:pStyle w:val="Ul"/>
        <w:numPr>
          <w:ilvl w:val="0"/>
          <w:numId w:val="9"/>
        </w:numPr>
      </w:pPr>
      <w:r>
        <w:t>модульное аудиторное, когда различные тематики разбиты п</w:t>
      </w:r>
      <w:r>
        <w:t xml:space="preserve">о дням и можно делать перерывы между изучением отдельных тем; </w:t>
      </w:r>
    </w:p>
    <w:p w:rsidR="00000000" w:rsidRDefault="005560E1">
      <w:pPr>
        <w:pStyle w:val="Ul"/>
        <w:numPr>
          <w:ilvl w:val="0"/>
          <w:numId w:val="9"/>
        </w:numPr>
      </w:pPr>
      <w:r>
        <w:t>дистанционное обучение с применением современных информационных технологий;</w:t>
      </w:r>
    </w:p>
    <w:p w:rsidR="00000000" w:rsidRDefault="005560E1">
      <w:pPr>
        <w:pStyle w:val="Ul"/>
        <w:numPr>
          <w:ilvl w:val="0"/>
          <w:numId w:val="9"/>
        </w:numPr>
        <w:spacing w:after="280" w:afterAutospacing="1"/>
      </w:pPr>
      <w:r>
        <w:t>комбинированное обучение, использующее различные формы организации обучения.</w:t>
      </w:r>
    </w:p>
    <w:p w:rsidR="00000000" w:rsidRDefault="005560E1">
      <w:pPr>
        <w:spacing w:after="280" w:afterAutospacing="1"/>
      </w:pPr>
      <w:r>
        <w:t>Когда обучение происходит в дистанционно</w:t>
      </w:r>
      <w:r>
        <w:t xml:space="preserve">й форме или с использованием электронного обучения, учебные центры: </w:t>
      </w:r>
    </w:p>
    <w:p w:rsidR="00000000" w:rsidRDefault="005560E1">
      <w:pPr>
        <w:pStyle w:val="Ul"/>
        <w:numPr>
          <w:ilvl w:val="0"/>
          <w:numId w:val="10"/>
        </w:numPr>
      </w:pPr>
      <w:r>
        <w:t xml:space="preserve">оказывают учебно-методическую помощь обучающимся в форме индивидуальных консультаций по аудио- и видеосвязи; </w:t>
      </w:r>
    </w:p>
    <w:p w:rsidR="00000000" w:rsidRDefault="005560E1">
      <w:pPr>
        <w:pStyle w:val="Ul"/>
        <w:numPr>
          <w:ilvl w:val="0"/>
          <w:numId w:val="10"/>
        </w:numPr>
        <w:spacing w:after="280" w:afterAutospacing="1"/>
      </w:pPr>
      <w:r>
        <w:t>самостоятельно определяют соотношение объема аудиторных занятий и занятий с п</w:t>
      </w:r>
      <w:r>
        <w:t xml:space="preserve">рименением электронных образовательных технологий. </w:t>
      </w:r>
    </w:p>
    <w:p w:rsidR="00000000" w:rsidRDefault="005560E1">
      <w:pPr>
        <w:spacing w:after="280" w:afterAutospacing="1"/>
      </w:pPr>
      <w:r>
        <w:t>Особенности организации электронной формы и дистанционного способа обучения утверждены (</w:t>
      </w:r>
      <w:r>
        <w:rPr>
          <w:rStyle w:val="Spanlink"/>
          <w:u w:val="single"/>
        </w:rPr>
        <w:t>приказом Минобрнауки России от 9 января 2014 г. № 2</w:t>
      </w:r>
      <w:r>
        <w:t xml:space="preserve">). </w:t>
      </w:r>
    </w:p>
    <w:p w:rsidR="00000000" w:rsidRDefault="005560E1">
      <w:pPr>
        <w:pStyle w:val="2"/>
        <w:spacing w:after="280" w:afterAutospacing="1"/>
      </w:pPr>
      <w:r>
        <w:t>Дополнены приложения к госстандарту</w:t>
      </w:r>
    </w:p>
    <w:p w:rsidR="00000000" w:rsidRDefault="005560E1">
      <w:pPr>
        <w:spacing w:after="280" w:afterAutospacing="1"/>
      </w:pPr>
      <w:r>
        <w:t>ГОСТ 12.0.004–2015 сохран</w:t>
      </w:r>
      <w:r>
        <w:t>ил структуру инструктажей по охране труда, установленных предыдущим стандартом: вводный, первичный на рабочем месте, повторный, внеплановый, целевой. Причем для целевого инструктажа новый ГОСТ вводит отдельный журнал, в котором регистрируют результаты инст</w:t>
      </w:r>
      <w:r>
        <w:t xml:space="preserve">руктажа. </w:t>
      </w:r>
    </w:p>
    <w:p w:rsidR="00000000" w:rsidRDefault="005560E1">
      <w:pPr>
        <w:pStyle w:val="strong"/>
        <w:spacing w:after="280" w:afterAutospacing="1"/>
      </w:pPr>
      <w:r>
        <w:t>Образец заполнения журнала регистрации целевого инструктажа по охране труда</w:t>
      </w:r>
    </w:p>
    <w:p w:rsidR="00000000" w:rsidRDefault="00496D8E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334000" cy="40195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60E1">
      <w:pPr>
        <w:spacing w:after="280" w:afterAutospacing="1"/>
      </w:pPr>
      <w:r>
        <w:t>В приложениях к ГОСТ 12.0.004–2015 также приведены:</w:t>
      </w:r>
    </w:p>
    <w:p w:rsidR="00000000" w:rsidRDefault="005560E1">
      <w:pPr>
        <w:pStyle w:val="Ul"/>
        <w:numPr>
          <w:ilvl w:val="0"/>
          <w:numId w:val="11"/>
        </w:numPr>
      </w:pPr>
      <w:r>
        <w:rPr>
          <w:rStyle w:val="Spanlink"/>
          <w:u w:val="single"/>
        </w:rPr>
        <w:t>примерная программа вводного инструктажа</w:t>
      </w:r>
      <w:r>
        <w:t xml:space="preserve"> по охране труда; </w:t>
      </w:r>
    </w:p>
    <w:p w:rsidR="00000000" w:rsidRDefault="005560E1">
      <w:pPr>
        <w:pStyle w:val="Ul"/>
        <w:numPr>
          <w:ilvl w:val="0"/>
          <w:numId w:val="11"/>
        </w:numPr>
      </w:pPr>
      <w:r>
        <w:rPr>
          <w:rStyle w:val="Spanlink"/>
          <w:u w:val="single"/>
        </w:rPr>
        <w:t>примерная программа первичного инструктажа</w:t>
      </w:r>
      <w:r>
        <w:t xml:space="preserve"> по охране труд</w:t>
      </w:r>
      <w:r>
        <w:t xml:space="preserve">а на рабочем месте; </w:t>
      </w:r>
    </w:p>
    <w:p w:rsidR="00000000" w:rsidRDefault="005560E1">
      <w:pPr>
        <w:pStyle w:val="Ul"/>
        <w:numPr>
          <w:ilvl w:val="0"/>
          <w:numId w:val="11"/>
        </w:numPr>
      </w:pPr>
      <w:r>
        <w:rPr>
          <w:rStyle w:val="Spanlink"/>
          <w:u w:val="single"/>
        </w:rPr>
        <w:t>примерная программа обучения приемам оказания первой помощи</w:t>
      </w:r>
      <w:r>
        <w:t xml:space="preserve"> пострадавшим; </w:t>
      </w:r>
    </w:p>
    <w:p w:rsidR="00000000" w:rsidRDefault="005560E1">
      <w:pPr>
        <w:pStyle w:val="Ul"/>
        <w:numPr>
          <w:ilvl w:val="0"/>
          <w:numId w:val="11"/>
        </w:numPr>
        <w:spacing w:after="280" w:afterAutospacing="1"/>
      </w:pPr>
      <w:r>
        <w:rPr>
          <w:rStyle w:val="Spanlink"/>
          <w:u w:val="single"/>
        </w:rPr>
        <w:t>универсальная программа базового основного курса</w:t>
      </w:r>
      <w:r>
        <w:t xml:space="preserve"> обучения «Основы управления условиями и охраной труда». </w:t>
      </w:r>
      <w:r>
        <w:t xml:space="preserve">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5560E1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5560E1">
            <w:pPr>
              <w:pStyle w:val="4"/>
              <w:spacing w:after="280" w:afterAutospacing="1"/>
            </w:pPr>
            <w:r>
              <w:t>Без проверки знаний обучение в </w:t>
            </w:r>
            <w:r>
              <w:t>зачет не идет</w:t>
            </w:r>
          </w:p>
          <w:p w:rsidR="00000000" w:rsidRDefault="005560E1">
            <w:pPr>
              <w:pStyle w:val="inline-p"/>
              <w:spacing w:after="280" w:afterAutospacing="1"/>
            </w:pPr>
            <w:r>
              <w:t>Критерием успешного обучения остается проверка знаний. Как и обучение, проверку знаний и навыков по охране труда проводят:</w:t>
            </w:r>
            <w:r>
              <w:br/>
              <w:t>– без отрыва от производства — в рабочее время и на территории работодателя, в том числе с помощью дистанционных технол</w:t>
            </w:r>
            <w:r>
              <w:t>огий;</w:t>
            </w:r>
            <w:r>
              <w:br/>
              <w:t>– с частичным отрывом от производства — совмещение в один день работы и обучения вне территории работодателя;</w:t>
            </w:r>
            <w:r>
              <w:br/>
              <w:t xml:space="preserve">– с отрывом от производства — обучение весь рабочий день вне территории работодателя. </w:t>
            </w:r>
          </w:p>
          <w:p w:rsidR="00000000" w:rsidRDefault="005560E1">
            <w:pPr>
              <w:pStyle w:val="inline-p"/>
            </w:pPr>
            <w:r>
              <w:t>По результатам проверки выдают удостоверение.</w:t>
            </w:r>
          </w:p>
        </w:tc>
      </w:tr>
    </w:tbl>
    <w:p w:rsidR="005560E1" w:rsidRDefault="005560E1">
      <w:pPr>
        <w:spacing w:after="280" w:afterAutospacing="1"/>
      </w:pPr>
      <w:r>
        <w:br/>
        <w:t xml:space="preserve">  </w:t>
      </w:r>
    </w:p>
    <w:sectPr w:rsidR="005560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96D8E"/>
    <w:rsid w:val="0055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2018-07-03T09:29:00Z</dcterms:created>
  <dcterms:modified xsi:type="dcterms:W3CDTF">2018-07-03T09:29:00Z</dcterms:modified>
</cp:coreProperties>
</file>