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98B">
      <w:pPr>
        <w:pStyle w:val="printredaction-line"/>
        <w:divId w:val="1919093801"/>
      </w:pPr>
      <w:r>
        <w:t>Редакция от 1 янв 2016</w:t>
      </w:r>
    </w:p>
    <w:p w:rsidR="00000000" w:rsidRDefault="0084498B">
      <w:pPr>
        <w:pStyle w:val="2"/>
        <w:divId w:val="1919093801"/>
        <w:rPr>
          <w:rFonts w:eastAsia="Times New Roman"/>
        </w:rPr>
      </w:pPr>
      <w:r>
        <w:rPr>
          <w:rFonts w:eastAsia="Times New Roman"/>
        </w:rPr>
        <w:t>Разрешается ли поднимать с помощью вилочного автопогрузчика в специально оборудованной кабине или на специально оборудованной площадке людей?</w:t>
      </w:r>
    </w:p>
    <w:p w:rsidR="00000000" w:rsidRDefault="0084498B">
      <w:pPr>
        <w:pStyle w:val="a3"/>
        <w:divId w:val="990984913"/>
      </w:pPr>
      <w:r>
        <w:t>Использовать для подъема людей на высоту вилочные автопогрузчики запрещено.</w:t>
      </w:r>
      <w:r>
        <w:t xml:space="preserve"> </w:t>
      </w:r>
    </w:p>
    <w:p w:rsidR="00000000" w:rsidRDefault="0084498B">
      <w:pPr>
        <w:pStyle w:val="a3"/>
        <w:divId w:val="990984913"/>
      </w:pPr>
      <w:r>
        <w:t>Приказом Ростехнадзора от 12 ноября 2013 г.</w:t>
      </w:r>
      <w:r>
        <w:t xml:space="preserve"> </w:t>
      </w:r>
      <w:hyperlink r:id="rId5" w:anchor="/document/99/499060049/" w:history="1">
        <w:r>
          <w:rPr>
            <w:rStyle w:val="a4"/>
          </w:rPr>
          <w:t>№ 533</w:t>
        </w:r>
      </w:hyperlink>
      <w:r>
        <w:t xml:space="preserve"> утв. Федеральные нормы и правила в области промышленной безопасности "Правила безопасности опасных производственных объектов, на которых </w:t>
      </w:r>
      <w:r>
        <w:t>используются подъемные сооружения" (далее - ФНП)</w:t>
      </w:r>
      <w:r>
        <w:t>.</w:t>
      </w:r>
    </w:p>
    <w:p w:rsidR="00000000" w:rsidRDefault="0084498B">
      <w:pPr>
        <w:pStyle w:val="a3"/>
        <w:divId w:val="990984913"/>
      </w:pPr>
      <w:r>
        <w:t>Согласно</w:t>
      </w:r>
      <w:r>
        <w:t xml:space="preserve"> </w:t>
      </w:r>
      <w:hyperlink r:id="rId6" w:anchor="/document/99/499060049/XA00M2O2MP/" w:history="1">
        <w:r>
          <w:rPr>
            <w:rStyle w:val="a4"/>
          </w:rPr>
          <w:t>п. 3</w:t>
        </w:r>
      </w:hyperlink>
      <w:r>
        <w:t xml:space="preserve"> требования ФНП распространяются на обеспечение промышленной безопасности ОПО, на которых применяются подъемные с</w:t>
      </w:r>
      <w:r>
        <w:t>ооружения (далее − ПС) и оборудование, используемое совместно с ПС</w:t>
      </w:r>
      <w:r>
        <w:t>:</w:t>
      </w:r>
    </w:p>
    <w:p w:rsidR="00000000" w:rsidRDefault="0084498B">
      <w:pPr>
        <w:numPr>
          <w:ilvl w:val="0"/>
          <w:numId w:val="1"/>
        </w:numPr>
        <w:spacing w:after="103"/>
        <w:ind w:left="686"/>
        <w:divId w:val="990984913"/>
        <w:rPr>
          <w:rFonts w:eastAsia="Times New Roman"/>
        </w:rPr>
      </w:pPr>
      <w:r>
        <w:rPr>
          <w:rFonts w:eastAsia="Times New Roman"/>
        </w:rPr>
        <w:t>строительные подъемники;</w:t>
      </w:r>
    </w:p>
    <w:p w:rsidR="00000000" w:rsidRDefault="0084498B">
      <w:pPr>
        <w:numPr>
          <w:ilvl w:val="0"/>
          <w:numId w:val="1"/>
        </w:numPr>
        <w:spacing w:after="103"/>
        <w:ind w:left="686"/>
        <w:divId w:val="990984913"/>
        <w:rPr>
          <w:rFonts w:eastAsia="Times New Roman"/>
        </w:rPr>
      </w:pPr>
      <w:r>
        <w:rPr>
          <w:rFonts w:eastAsia="Times New Roman"/>
        </w:rPr>
        <w:t>подъемники и вышки, предназначенные для перемещения людей;</w:t>
      </w:r>
    </w:p>
    <w:p w:rsidR="00000000" w:rsidRDefault="0084498B">
      <w:pPr>
        <w:numPr>
          <w:ilvl w:val="0"/>
          <w:numId w:val="1"/>
        </w:numPr>
        <w:spacing w:after="103"/>
        <w:ind w:left="686"/>
        <w:divId w:val="990984913"/>
        <w:rPr>
          <w:rFonts w:eastAsia="Times New Roman"/>
        </w:rPr>
      </w:pPr>
      <w:r>
        <w:rPr>
          <w:rFonts w:eastAsia="Times New Roman"/>
        </w:rPr>
        <w:t>специальные съемные кабины и люльки, навешиваемые на грузозахватные органы кранов и используемых для под</w:t>
      </w:r>
      <w:r>
        <w:rPr>
          <w:rFonts w:eastAsia="Times New Roman"/>
        </w:rPr>
        <w:t>ъема и перемещения людей.</w:t>
      </w:r>
    </w:p>
    <w:p w:rsidR="00000000" w:rsidRDefault="0084498B">
      <w:pPr>
        <w:pStyle w:val="a3"/>
        <w:divId w:val="990984913"/>
      </w:pPr>
      <w:hyperlink r:id="rId7" w:anchor="/document/99/499060049/XA00MAC2NB/" w:history="1">
        <w:r>
          <w:rPr>
            <w:rStyle w:val="a4"/>
          </w:rPr>
          <w:t>Пунктом 239</w:t>
        </w:r>
      </w:hyperlink>
      <w:r>
        <w:t xml:space="preserve"> ФНП установлены требования к процессу подъема и транспортировки людей, так подъем и транспортировка людей с применением ПС, в паспорте кот</w:t>
      </w:r>
      <w:r>
        <w:t>орых отсутствует разрешение на транспортировку людей, разрешена в следующих случаях</w:t>
      </w:r>
      <w:r>
        <w:t>:</w:t>
      </w:r>
    </w:p>
    <w:p w:rsidR="00000000" w:rsidRDefault="0084498B">
      <w:pPr>
        <w:pStyle w:val="a3"/>
        <w:divId w:val="990984913"/>
      </w:pPr>
      <w:r>
        <w:t>а) при монтаже, строительстве и возведении уникальных объектов, когда иные способы доставки рабочих в зону выполнения работ не могут быть применены</w:t>
      </w:r>
      <w:r>
        <w:t>;</w:t>
      </w:r>
    </w:p>
    <w:p w:rsidR="00000000" w:rsidRDefault="0084498B">
      <w:pPr>
        <w:pStyle w:val="a3"/>
        <w:divId w:val="990984913"/>
      </w:pPr>
      <w:r>
        <w:t>б) при монтаже и обслу</w:t>
      </w:r>
      <w:r>
        <w:t>живании отдельно стоящих буровых и иных установок нефтегазодобычи</w:t>
      </w:r>
      <w:r>
        <w:t>;</w:t>
      </w:r>
    </w:p>
    <w:p w:rsidR="00000000" w:rsidRDefault="0084498B">
      <w:pPr>
        <w:pStyle w:val="a3"/>
        <w:divId w:val="990984913"/>
      </w:pPr>
      <w:r>
        <w:t>в) на предприятиях и доках, выполняющих работы по возведению и ремонту корпусов судов</w:t>
      </w:r>
      <w:r>
        <w:t>;</w:t>
      </w:r>
    </w:p>
    <w:p w:rsidR="00000000" w:rsidRDefault="0084498B">
      <w:pPr>
        <w:pStyle w:val="a3"/>
        <w:divId w:val="990984913"/>
      </w:pPr>
      <w:r>
        <w:t xml:space="preserve">г) на нефтяных и газовых платформах, установленных в открытом море, для смены персонала, при вахтовом </w:t>
      </w:r>
      <w:r>
        <w:t>методе обслуживания платформ</w:t>
      </w:r>
      <w:r>
        <w:t>;</w:t>
      </w:r>
    </w:p>
    <w:p w:rsidR="00000000" w:rsidRDefault="0084498B">
      <w:pPr>
        <w:pStyle w:val="a3"/>
        <w:divId w:val="990984913"/>
      </w:pPr>
      <w:r>
        <w:t>д) при перемещении персонала для крепления и раскрепления крупнотоннажных контейнеров на судах</w:t>
      </w:r>
      <w:r>
        <w:t>;</w:t>
      </w:r>
    </w:p>
    <w:p w:rsidR="00000000" w:rsidRDefault="0084498B">
      <w:pPr>
        <w:pStyle w:val="a3"/>
        <w:divId w:val="990984913"/>
      </w:pPr>
      <w:r>
        <w:t>е) при проведении диагностирования и ремонта металлоконструкций ПС, когда применение других средств подмащивания невозможно</w:t>
      </w:r>
      <w:r>
        <w:t>;</w:t>
      </w:r>
    </w:p>
    <w:p w:rsidR="00000000" w:rsidRDefault="0084498B">
      <w:pPr>
        <w:pStyle w:val="a3"/>
        <w:divId w:val="990984913"/>
      </w:pPr>
      <w:r>
        <w:t>ж) пр</w:t>
      </w:r>
      <w:r>
        <w:t>и аварийной транспортировке людей, которые не в состоянии передвигаться</w:t>
      </w:r>
      <w:r>
        <w:t>.</w:t>
      </w:r>
    </w:p>
    <w:p w:rsidR="00000000" w:rsidRDefault="0084498B">
      <w:pPr>
        <w:pStyle w:val="a3"/>
        <w:divId w:val="990984913"/>
      </w:pPr>
      <w:r>
        <w:t>ППР на подъем и транспортировку людей с применением ПС должны быть разработаны с обязательным условием выполнения требований промышленной безопасности, изложенных в настоящих ФНП, и с</w:t>
      </w:r>
      <w:r>
        <w:t>огласованы Федеральной службой по экологическому, технологическому и атомному надзору, кроме случаев аварийной транспортировки людей</w:t>
      </w:r>
      <w:r>
        <w:t>.</w:t>
      </w:r>
    </w:p>
    <w:p w:rsidR="00000000" w:rsidRDefault="0084498B">
      <w:pPr>
        <w:pStyle w:val="a3"/>
        <w:divId w:val="990984913"/>
      </w:pPr>
      <w:r>
        <w:lastRenderedPageBreak/>
        <w:t>Обращаем Ваше внимание, что согласно</w:t>
      </w:r>
      <w:r>
        <w:t xml:space="preserve"> </w:t>
      </w:r>
      <w:hyperlink r:id="rId8" w:anchor="/document/99/499060049/XA00ME82NN/" w:history="1">
        <w:r>
          <w:rPr>
            <w:rStyle w:val="a4"/>
          </w:rPr>
          <w:t>п. 18</w:t>
        </w:r>
        <w:r>
          <w:rPr>
            <w:rStyle w:val="a4"/>
          </w:rPr>
          <w:t>9</w:t>
        </w:r>
      </w:hyperlink>
      <w:r>
        <w:t xml:space="preserve"> ФНП испытания ловителей и аварийных остановов для всех типов подъемников должны предусматривать остановку грузонесущего устройства без нахождения человека в непосредственной близости от грузонесущего устройства</w:t>
      </w:r>
      <w:r>
        <w:t>.</w:t>
      </w:r>
    </w:p>
    <w:p w:rsidR="00000000" w:rsidRDefault="0084498B">
      <w:pPr>
        <w:pStyle w:val="a3"/>
        <w:divId w:val="990984913"/>
      </w:pPr>
      <w:r>
        <w:t>Для исключения жесткого удара при превышен</w:t>
      </w:r>
      <w:r>
        <w:t>ии тормозного пути, записанного в эксплуатационной документации, должны быть предусмотрены амортизирующие устройства</w:t>
      </w:r>
      <w:r>
        <w:t>.</w:t>
      </w:r>
    </w:p>
    <w:p w:rsidR="00000000" w:rsidRDefault="0084498B">
      <w:pPr>
        <w:pStyle w:val="a3"/>
        <w:divId w:val="990984913"/>
      </w:pPr>
      <w:r>
        <w:t>Также следует обратить внимание на пункты</w:t>
      </w:r>
      <w:r>
        <w:t xml:space="preserve"> </w:t>
      </w:r>
      <w:hyperlink r:id="rId9" w:anchor="/document/99/499060049/XA00MAE2MS/" w:history="1">
        <w:r>
          <w:rPr>
            <w:rStyle w:val="a4"/>
          </w:rPr>
          <w:t>118</w:t>
        </w:r>
      </w:hyperlink>
      <w:r>
        <w:t xml:space="preserve"> ,</w:t>
      </w:r>
      <w:r>
        <w:t xml:space="preserve"> </w:t>
      </w:r>
      <w:hyperlink r:id="rId10" w:anchor="/document/99/499060049/XA00MEC2NB/" w:history="1">
        <w:r>
          <w:rPr>
            <w:rStyle w:val="a4"/>
          </w:rPr>
          <w:t>171- 173</w:t>
        </w:r>
      </w:hyperlink>
      <w:r>
        <w:t xml:space="preserve"> ,</w:t>
      </w:r>
      <w:r>
        <w:t xml:space="preserve"> </w:t>
      </w:r>
      <w:hyperlink r:id="rId11" w:anchor="/document/99/499060049/XA00M842MK/" w:history="1">
        <w:r>
          <w:rPr>
            <w:rStyle w:val="a4"/>
          </w:rPr>
          <w:t>182</w:t>
        </w:r>
      </w:hyperlink>
      <w:r>
        <w:t xml:space="preserve"> ,</w:t>
      </w:r>
      <w:r>
        <w:t xml:space="preserve"> </w:t>
      </w:r>
      <w:hyperlink r:id="rId12" w:anchor="/document/99/499060049/XA00M1K2LS/" w:history="1">
        <w:r>
          <w:rPr>
            <w:rStyle w:val="a4"/>
          </w:rPr>
          <w:t>246-251</w:t>
        </w:r>
      </w:hyperlink>
      <w:r>
        <w:t xml:space="preserve"> ,</w:t>
      </w:r>
      <w:r>
        <w:t xml:space="preserve"> </w:t>
      </w:r>
      <w:hyperlink r:id="rId13" w:anchor="/document/99/499060049/XA00M422MJ/" w:history="1">
        <w:r>
          <w:rPr>
            <w:rStyle w:val="a4"/>
          </w:rPr>
          <w:t>255</w:t>
        </w:r>
      </w:hyperlink>
      <w:r>
        <w:t xml:space="preserve"> ,</w:t>
      </w:r>
      <w:r>
        <w:t xml:space="preserve"> </w:t>
      </w:r>
      <w:hyperlink r:id="rId14" w:anchor="/document/99/499060049/XA00M7S2N3/" w:history="1">
        <w:r>
          <w:rPr>
            <w:rStyle w:val="a4"/>
          </w:rPr>
          <w:t>264- 268</w:t>
        </w:r>
      </w:hyperlink>
      <w:r>
        <w:t xml:space="preserve"> ФНП</w:t>
      </w:r>
      <w:r>
        <w:t>.</w:t>
      </w:r>
    </w:p>
    <w:p w:rsidR="00000000" w:rsidRDefault="0084498B">
      <w:pPr>
        <w:pStyle w:val="a3"/>
        <w:divId w:val="990984913"/>
      </w:pPr>
      <w:r>
        <w:t>Таким образом</w:t>
      </w:r>
      <w:r>
        <w:t>,</w:t>
      </w:r>
    </w:p>
    <w:p w:rsidR="00000000" w:rsidRDefault="0084498B">
      <w:pPr>
        <w:numPr>
          <w:ilvl w:val="0"/>
          <w:numId w:val="2"/>
        </w:numPr>
        <w:spacing w:after="103"/>
        <w:ind w:left="686"/>
        <w:divId w:val="990984913"/>
        <w:rPr>
          <w:rFonts w:eastAsia="Times New Roman"/>
        </w:rPr>
      </w:pPr>
      <w:r>
        <w:rPr>
          <w:rFonts w:eastAsia="Times New Roman"/>
        </w:rPr>
        <w:t xml:space="preserve">Подъемники, предназначенные для перемещения людей, подлежат </w:t>
      </w:r>
      <w:r>
        <w:rPr>
          <w:rFonts w:eastAsia="Times New Roman"/>
        </w:rPr>
        <w:t>регистрации в Ростехнадзоре;</w:t>
      </w:r>
    </w:p>
    <w:p w:rsidR="00000000" w:rsidRDefault="0084498B">
      <w:pPr>
        <w:numPr>
          <w:ilvl w:val="0"/>
          <w:numId w:val="2"/>
        </w:numPr>
        <w:spacing w:after="103"/>
        <w:ind w:left="686"/>
        <w:divId w:val="990984913"/>
        <w:rPr>
          <w:rFonts w:eastAsia="Times New Roman"/>
        </w:rPr>
      </w:pPr>
      <w:r>
        <w:rPr>
          <w:rFonts w:eastAsia="Times New Roman"/>
        </w:rPr>
        <w:t>Подъем и транспортировка людей с применением ПС, в паспорте которых отсутствует разрешение на транспортировку людей, разрешена только в случаях, перечисленных в</w:t>
      </w:r>
      <w:r>
        <w:rPr>
          <w:rFonts w:eastAsia="Times New Roman"/>
        </w:rPr>
        <w:t xml:space="preserve"> </w:t>
      </w:r>
      <w:hyperlink r:id="rId15" w:anchor="/document/99/499060049/XA00MAC2NB/" w:history="1">
        <w:r>
          <w:rPr>
            <w:rStyle w:val="a4"/>
            <w:rFonts w:eastAsia="Times New Roman"/>
          </w:rPr>
          <w:t>п. 239</w:t>
        </w:r>
      </w:hyperlink>
      <w:r>
        <w:rPr>
          <w:rFonts w:eastAsia="Times New Roman"/>
        </w:rPr>
        <w:t xml:space="preserve"> ФНП.</w:t>
      </w:r>
    </w:p>
    <w:p w:rsidR="00000000" w:rsidRDefault="0084498B">
      <w:pPr>
        <w:pStyle w:val="a3"/>
        <w:divId w:val="990984913"/>
      </w:pPr>
      <w:r>
        <w:t>При этом ППР на подъем и транспортировку людей с применением ПС должны быть разработаны с обязательным условием выполнения требований промышленной безопасности, изложенных в настоящих ФНП, и согласованы Федеральной службой по экол</w:t>
      </w:r>
      <w:r>
        <w:t>огическому, технологическому и атомному надзору</w:t>
      </w:r>
      <w:r>
        <w:t>.</w:t>
      </w:r>
    </w:p>
    <w:p w:rsidR="00000000" w:rsidRDefault="0084498B">
      <w:pPr>
        <w:pStyle w:val="a3"/>
        <w:divId w:val="990984913"/>
      </w:pPr>
      <w:r>
        <w:t>Если выполняются работы, перечисленные в</w:t>
      </w:r>
      <w:r>
        <w:t xml:space="preserve"> </w:t>
      </w:r>
      <w:hyperlink r:id="rId16" w:anchor="/document/99/499060049/XA00MAC2NB/" w:history="1">
        <w:r>
          <w:rPr>
            <w:rStyle w:val="a4"/>
          </w:rPr>
          <w:t>п. 239</w:t>
        </w:r>
      </w:hyperlink>
      <w:r>
        <w:t xml:space="preserve"> ФНП, то необходимо согласование ППР с Ростехнадзором</w:t>
      </w:r>
      <w:r>
        <w:t>.</w:t>
      </w:r>
    </w:p>
    <w:p w:rsidR="00000000" w:rsidRDefault="0084498B">
      <w:pPr>
        <w:pStyle w:val="a3"/>
        <w:divId w:val="990984913"/>
      </w:pPr>
      <w:r>
        <w:t>Если выполняются иные раб</w:t>
      </w:r>
      <w:r>
        <w:t>оты, использование ПС (погрузчика), в паспорте которого отсутствует разрешение на транспортировку людей, для подъема людей в любой кабине, на любой платформе/площадке запрещено</w:t>
      </w:r>
      <w:r>
        <w:t>.</w:t>
      </w:r>
    </w:p>
    <w:p w:rsidR="0084498B" w:rsidRDefault="0084498B">
      <w:pPr>
        <w:divId w:val="8900647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</w:t>
      </w:r>
      <w:r>
        <w:rPr>
          <w:rFonts w:ascii="Arial" w:eastAsia="Times New Roman" w:hAnsi="Arial" w:cs="Arial"/>
          <w:sz w:val="22"/>
          <w:szCs w:val="22"/>
        </w:rPr>
        <w:t>я: 05.07.2018</w:t>
      </w:r>
    </w:p>
    <w:sectPr w:rsidR="0084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379F"/>
    <w:multiLevelType w:val="multilevel"/>
    <w:tmpl w:val="2926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17FD1"/>
    <w:multiLevelType w:val="multilevel"/>
    <w:tmpl w:val="8C4A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D6150"/>
    <w:rsid w:val="007D6150"/>
    <w:rsid w:val="0084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47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0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91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2018-10-07T21:10:00Z</dcterms:created>
  <dcterms:modified xsi:type="dcterms:W3CDTF">2018-10-07T21:10:00Z</dcterms:modified>
</cp:coreProperties>
</file>