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2DAA">
      <w:pPr>
        <w:pStyle w:val="printredaction-line"/>
        <w:divId w:val="1443645590"/>
      </w:pPr>
      <w:r>
        <w:t>Редакция от 1 янв 2016</w:t>
      </w:r>
    </w:p>
    <w:p w:rsidR="00000000" w:rsidRDefault="009F2DAA">
      <w:pPr>
        <w:pStyle w:val="2"/>
        <w:divId w:val="1443645590"/>
        <w:rPr>
          <w:rFonts w:eastAsia="Times New Roman"/>
        </w:rPr>
      </w:pPr>
      <w:r>
        <w:rPr>
          <w:rFonts w:eastAsia="Times New Roman"/>
        </w:rPr>
        <w:t>Как провести внеочередной медосмотр</w:t>
      </w:r>
    </w:p>
    <w:p w:rsidR="00000000" w:rsidRDefault="009F2DAA">
      <w:pPr>
        <w:pStyle w:val="a3"/>
        <w:divId w:val="1443645590"/>
      </w:pPr>
      <w:r>
        <w:rPr>
          <w:b/>
          <w:bCs/>
        </w:rPr>
        <w:t>Кутузова Татьяна</w:t>
      </w:r>
    </w:p>
    <w:p w:rsidR="00000000" w:rsidRDefault="009F2DAA">
      <w:pPr>
        <w:pStyle w:val="a3"/>
        <w:divId w:val="1997882341"/>
      </w:pPr>
      <w:r>
        <w:t>Внеочередные медицинские осмотры проводят на основании медицинских рекомендаций, указанных в заключительном акте медицинского обследования</w:t>
      </w:r>
      <w:r>
        <w:t>.</w:t>
      </w:r>
    </w:p>
    <w:p w:rsidR="00000000" w:rsidRDefault="009F2DAA">
      <w:pPr>
        <w:pStyle w:val="a3"/>
        <w:divId w:val="1997882341"/>
      </w:pPr>
      <w:r>
        <w:t>В частности, при наличии соответствующих медицинских рекомендаций внеочередным медосмотрам подлежат следующие работники</w:t>
      </w:r>
      <w:r>
        <w:t>:</w:t>
      </w:r>
    </w:p>
    <w:p w:rsidR="00000000" w:rsidRDefault="009F2DAA">
      <w:pPr>
        <w:numPr>
          <w:ilvl w:val="0"/>
          <w:numId w:val="1"/>
        </w:numPr>
        <w:spacing w:after="103"/>
        <w:ind w:left="686"/>
        <w:divId w:val="1997882341"/>
        <w:rPr>
          <w:rFonts w:eastAsia="Times New Roman"/>
        </w:rPr>
      </w:pPr>
      <w:r>
        <w:rPr>
          <w:rFonts w:eastAsia="Times New Roman"/>
        </w:rPr>
        <w:t xml:space="preserve">занятые на работах с вредными или опасными условиями труда, в том числе на подземных работах </w:t>
      </w:r>
      <w:r>
        <w:rPr>
          <w:rFonts w:eastAsia="Times New Roman"/>
        </w:rPr>
        <w:t>(</w:t>
      </w:r>
      <w:hyperlink r:id="rId5" w:anchor="/document/99/901807664/XA00MCA2N2/" w:tooltip="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.." w:history="1">
        <w:r>
          <w:rPr>
            <w:rStyle w:val="a4"/>
            <w:rFonts w:eastAsia="Times New Roman"/>
          </w:rPr>
          <w:t>ч. 1 ст. 213 ТК РФ</w:t>
        </w:r>
      </w:hyperlink>
      <w:r>
        <w:rPr>
          <w:rFonts w:eastAsia="Times New Roman"/>
        </w:rPr>
        <w:t>);</w:t>
      </w:r>
    </w:p>
    <w:p w:rsidR="00000000" w:rsidRDefault="009F2DAA">
      <w:pPr>
        <w:numPr>
          <w:ilvl w:val="0"/>
          <w:numId w:val="1"/>
        </w:numPr>
        <w:spacing w:after="103"/>
        <w:ind w:left="686"/>
        <w:divId w:val="1997882341"/>
        <w:rPr>
          <w:rFonts w:eastAsia="Times New Roman"/>
        </w:rPr>
      </w:pPr>
      <w:r>
        <w:rPr>
          <w:rFonts w:eastAsia="Times New Roman"/>
        </w:rPr>
        <w:t xml:space="preserve">занятые на работах, связанных с движением транспорта </w:t>
      </w:r>
      <w:r>
        <w:rPr>
          <w:rFonts w:eastAsia="Times New Roman"/>
        </w:rPr>
        <w:t>(</w:t>
      </w:r>
      <w:hyperlink r:id="rId6" w:anchor="/document/99/901807664/XA00MCA2N2/" w:tooltip="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.." w:history="1">
        <w:r>
          <w:rPr>
            <w:rStyle w:val="a4"/>
            <w:rFonts w:eastAsia="Times New Roman"/>
          </w:rPr>
          <w:t>ч. 1 ст. 213 ТК РФ</w:t>
        </w:r>
      </w:hyperlink>
      <w:r>
        <w:rPr>
          <w:rFonts w:eastAsia="Times New Roman"/>
        </w:rPr>
        <w:t>);</w:t>
      </w:r>
    </w:p>
    <w:p w:rsidR="00000000" w:rsidRDefault="009F2DAA">
      <w:pPr>
        <w:numPr>
          <w:ilvl w:val="0"/>
          <w:numId w:val="1"/>
        </w:numPr>
        <w:spacing w:after="103"/>
        <w:ind w:left="686"/>
        <w:divId w:val="1997882341"/>
        <w:rPr>
          <w:rFonts w:eastAsia="Times New Roman"/>
        </w:rPr>
      </w:pPr>
      <w:r>
        <w:rPr>
          <w:rFonts w:eastAsia="Times New Roman"/>
        </w:rPr>
        <w:t xml:space="preserve">спортсмены </w:t>
      </w:r>
      <w:r>
        <w:rPr>
          <w:rFonts w:eastAsia="Times New Roman"/>
        </w:rPr>
        <w:t>(</w:t>
      </w:r>
      <w:hyperlink r:id="rId7" w:anchor="/document/99/901807664/XA00M4M2MN/" w:tooltip="Статья 348.3. Медицинские осмотры спортсменов" w:history="1">
        <w:r>
          <w:rPr>
            <w:rStyle w:val="a4"/>
            <w:rFonts w:eastAsia="Times New Roman"/>
          </w:rPr>
          <w:t>ст. 348.3 ТК РФ</w:t>
        </w:r>
      </w:hyperlink>
      <w:r>
        <w:rPr>
          <w:rFonts w:eastAsia="Times New Roman"/>
        </w:rPr>
        <w:t>);</w:t>
      </w:r>
    </w:p>
    <w:p w:rsidR="00000000" w:rsidRDefault="009F2DAA">
      <w:pPr>
        <w:numPr>
          <w:ilvl w:val="0"/>
          <w:numId w:val="1"/>
        </w:numPr>
        <w:spacing w:after="103"/>
        <w:ind w:left="686"/>
        <w:divId w:val="1997882341"/>
        <w:rPr>
          <w:rFonts w:eastAsia="Times New Roman"/>
        </w:rPr>
      </w:pPr>
      <w:r>
        <w:rPr>
          <w:rFonts w:eastAsia="Times New Roman"/>
        </w:rPr>
        <w:t>работающие в организациях пищевой промышленности, общественного питания и торговли, водопроводных сооружений, медицинских организациях и детских учреждениях, а также у некоторых других р</w:t>
      </w:r>
      <w:r>
        <w:rPr>
          <w:rFonts w:eastAsia="Times New Roman"/>
        </w:rPr>
        <w:t>аботодателей.</w:t>
      </w:r>
    </w:p>
    <w:p w:rsidR="00000000" w:rsidRDefault="009F2DAA">
      <w:pPr>
        <w:pStyle w:val="a3"/>
        <w:divId w:val="1997882341"/>
      </w:pPr>
      <w:r>
        <w:t>Данный вывод следует из анализа частей</w:t>
      </w:r>
      <w:r>
        <w:t xml:space="preserve"> </w:t>
      </w:r>
      <w:hyperlink r:id="rId8" w:anchor="/document/99/901807664/XA00MCA2N2/" w:tooltip="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.." w:history="1">
        <w:r>
          <w:rPr>
            <w:rStyle w:val="a4"/>
          </w:rPr>
          <w:t>1</w:t>
        </w:r>
      </w:hyperlink>
      <w:r>
        <w:t>,</w:t>
      </w:r>
      <w:r>
        <w:t xml:space="preserve"> </w:t>
      </w:r>
      <w:hyperlink r:id="rId9" w:anchor="/document/99/901807664/ZA02G5G3I5/" w:tooltip="Работники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 проходят указанные медицинские осмотры..." w:history="1">
        <w:r>
          <w:rPr>
            <w:rStyle w:val="a4"/>
          </w:rPr>
          <w:t>2</w:t>
        </w:r>
      </w:hyperlink>
      <w:r>
        <w:t xml:space="preserve"> статьи 213 Трудового кодекса РФ</w:t>
      </w:r>
      <w:r>
        <w:t>.</w:t>
      </w:r>
    </w:p>
    <w:p w:rsidR="00000000" w:rsidRDefault="009F2DAA">
      <w:pPr>
        <w:pStyle w:val="a3"/>
        <w:divId w:val="1997882341"/>
      </w:pPr>
      <w:r>
        <w:t>Работодатель вправе направить работника на внеочер</w:t>
      </w:r>
      <w:r>
        <w:t>едной медицинский осмотр в следующих случаях</w:t>
      </w:r>
      <w:r>
        <w:t>:</w:t>
      </w:r>
    </w:p>
    <w:p w:rsidR="00000000" w:rsidRDefault="009F2DAA">
      <w:pPr>
        <w:numPr>
          <w:ilvl w:val="0"/>
          <w:numId w:val="2"/>
        </w:numPr>
        <w:spacing w:after="103"/>
        <w:ind w:left="686"/>
        <w:divId w:val="1997882341"/>
        <w:rPr>
          <w:rFonts w:eastAsia="Times New Roman"/>
        </w:rPr>
      </w:pPr>
      <w:r>
        <w:rPr>
          <w:rFonts w:eastAsia="Times New Roman"/>
        </w:rPr>
        <w:t xml:space="preserve">по просьбе самих работников </w:t>
      </w:r>
      <w:r>
        <w:rPr>
          <w:rFonts w:eastAsia="Times New Roman"/>
        </w:rPr>
        <w:t>(</w:t>
      </w:r>
      <w:hyperlink r:id="rId10" w:anchor="/document/99/901807664/XA00RN82OT/" w:tooltip="Статья 219. Право работника на труд в условиях, отвечающих требованиям охраны труда" w:history="1">
        <w:r>
          <w:rPr>
            <w:rStyle w:val="a4"/>
            <w:rFonts w:eastAsia="Times New Roman"/>
          </w:rPr>
          <w:t>ст. 219 ТК РФ</w:t>
        </w:r>
      </w:hyperlink>
      <w:r>
        <w:rPr>
          <w:rFonts w:eastAsia="Times New Roman"/>
        </w:rPr>
        <w:t xml:space="preserve"> за</w:t>
      </w:r>
      <w:r>
        <w:rPr>
          <w:rFonts w:eastAsia="Times New Roman"/>
        </w:rPr>
        <w:t>крепляет право работника на внеочередной медицинский осмотр в соответствии с медицинскими рекомендациями с сохранением за ним места работы и среднего заработка на время прохождения медосмотра);</w:t>
      </w:r>
    </w:p>
    <w:p w:rsidR="00000000" w:rsidRDefault="009F2DAA">
      <w:pPr>
        <w:numPr>
          <w:ilvl w:val="0"/>
          <w:numId w:val="2"/>
        </w:numPr>
        <w:spacing w:after="103"/>
        <w:ind w:left="686"/>
        <w:divId w:val="1997882341"/>
        <w:rPr>
          <w:rFonts w:eastAsia="Times New Roman"/>
        </w:rPr>
      </w:pPr>
      <w:r>
        <w:rPr>
          <w:rFonts w:eastAsia="Times New Roman"/>
        </w:rPr>
        <w:t>в соответствии с медицинскими рекомендациями специалистов, уча</w:t>
      </w:r>
      <w:r>
        <w:rPr>
          <w:rFonts w:eastAsia="Times New Roman"/>
        </w:rPr>
        <w:t>ствовавших в проведении предварительных или периодических осмотров, а также по эпидемиологическим показаниям;</w:t>
      </w:r>
    </w:p>
    <w:p w:rsidR="00000000" w:rsidRDefault="009F2DAA">
      <w:pPr>
        <w:numPr>
          <w:ilvl w:val="0"/>
          <w:numId w:val="2"/>
        </w:numPr>
        <w:spacing w:after="103"/>
        <w:ind w:left="686"/>
        <w:divId w:val="1997882341"/>
        <w:rPr>
          <w:rFonts w:eastAsia="Times New Roman"/>
        </w:rPr>
      </w:pPr>
      <w:r>
        <w:rPr>
          <w:rFonts w:eastAsia="Times New Roman"/>
        </w:rPr>
        <w:t>в соответствии с медицинским заключением;</w:t>
      </w:r>
    </w:p>
    <w:p w:rsidR="00000000" w:rsidRDefault="009F2DAA">
      <w:pPr>
        <w:numPr>
          <w:ilvl w:val="0"/>
          <w:numId w:val="2"/>
        </w:numPr>
        <w:spacing w:after="103"/>
        <w:ind w:left="686"/>
        <w:divId w:val="1997882341"/>
        <w:rPr>
          <w:rFonts w:eastAsia="Times New Roman"/>
        </w:rPr>
      </w:pPr>
      <w:r>
        <w:rPr>
          <w:rFonts w:eastAsia="Times New Roman"/>
        </w:rPr>
        <w:t xml:space="preserve">по заключению территориальных органов Роспотребнадзора с обязательным обоснованием в направлении причин </w:t>
      </w:r>
      <w:r>
        <w:rPr>
          <w:rFonts w:eastAsia="Times New Roman"/>
        </w:rPr>
        <w:t>досрочного осмотра;</w:t>
      </w:r>
    </w:p>
    <w:p w:rsidR="00000000" w:rsidRDefault="009F2DAA">
      <w:pPr>
        <w:numPr>
          <w:ilvl w:val="0"/>
          <w:numId w:val="2"/>
        </w:numPr>
        <w:spacing w:after="103"/>
        <w:ind w:left="686"/>
        <w:divId w:val="1997882341"/>
        <w:rPr>
          <w:rFonts w:eastAsia="Times New Roman"/>
        </w:rPr>
      </w:pPr>
      <w:r>
        <w:rPr>
          <w:rFonts w:eastAsia="Times New Roman"/>
        </w:rPr>
        <w:t>при выявлении случая внутрибольничной инфекции, по решению специалистов органов и учреждений Роспотребнадзора.</w:t>
      </w:r>
    </w:p>
    <w:p w:rsidR="00000000" w:rsidRDefault="009F2DAA">
      <w:pPr>
        <w:pStyle w:val="a3"/>
        <w:divId w:val="1997882341"/>
      </w:pPr>
      <w:r>
        <w:t>При отсутствии перечисленных выше оснований работодатель не вправе направлять работника на внеочередной медицинский осмотр бе</w:t>
      </w:r>
      <w:r>
        <w:t>з его согласия</w:t>
      </w:r>
      <w:r>
        <w:t>.</w:t>
      </w:r>
    </w:p>
    <w:p w:rsidR="00000000" w:rsidRDefault="009F2DAA">
      <w:pPr>
        <w:divId w:val="540558167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работник обязан немедленно извещать своего непосредственного или вышестоящего руководителя об ухудшении состояния своего здоровья, в том числе о проявлении признаков острого профзаболевания </w:t>
      </w:r>
      <w:r>
        <w:rPr>
          <w:rStyle w:val="incut-head-sub"/>
          <w:rFonts w:eastAsia="Times New Roman"/>
        </w:rPr>
        <w:t>(</w:t>
      </w:r>
      <w:hyperlink r:id="rId11" w:anchor="/document/99/901807664/XA00MCS2N5/" w:tooltip="Статья 214. Обязанности работника в области охраны труда" w:history="1">
        <w:r>
          <w:rPr>
            <w:rStyle w:val="a4"/>
            <w:rFonts w:eastAsia="Times New Roman"/>
          </w:rPr>
          <w:t>ст. 214 ТК РФ</w:t>
        </w:r>
      </w:hyperlink>
      <w:r>
        <w:rPr>
          <w:rStyle w:val="incut-head-sub"/>
          <w:rFonts w:eastAsia="Times New Roman"/>
        </w:rPr>
        <w:t>). Работодатель при наличии явных признаков, свидетельствующих о снижении трудоспособности работника, может направить его на внеочередной медосм</w:t>
      </w:r>
      <w:r>
        <w:rPr>
          <w:rStyle w:val="incut-head-sub"/>
          <w:rFonts w:eastAsia="Times New Roman"/>
        </w:rPr>
        <w:t>отр.</w:t>
      </w:r>
    </w:p>
    <w:p w:rsidR="00000000" w:rsidRDefault="009F2DAA">
      <w:pPr>
        <w:pStyle w:val="a3"/>
        <w:divId w:val="1997882341"/>
      </w:pPr>
      <w:r>
        <w:lastRenderedPageBreak/>
        <w:t xml:space="preserve">Порядок проведения внеочередного медосмотра нормативно не регламентирован. На практике за медицинскими рекомендациями для внеочередного медосмотра обращаются в медучреждение, в котором работники обычно проходят обследование. Для этого пишут письмо на </w:t>
      </w:r>
      <w:r>
        <w:t xml:space="preserve">имя главного врача и подробно описывают ситуации, которые вызвали сомнения в состоянии здоровья работника. Также при наличии представляют медицинские документы, подтверждающие заболевание, повторяющиеся приступы и т. д. Работодатель может выдать работнику </w:t>
      </w:r>
      <w:r>
        <w:t>направление для прохождения данного медосмотра, а также издать соответствующий приказ</w:t>
      </w:r>
      <w:r>
        <w:t>.</w:t>
      </w:r>
    </w:p>
    <w:p w:rsidR="00000000" w:rsidRDefault="009F2DAA">
      <w:pPr>
        <w:divId w:val="74665269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при какой продолжительности больничного листка может возникнуть вопрос о направлении работника на внеплановый медосмотр</w:t>
      </w:r>
    </w:p>
    <w:p w:rsidR="00000000" w:rsidRDefault="009F2DAA">
      <w:pPr>
        <w:pStyle w:val="a3"/>
        <w:divId w:val="1317535947"/>
      </w:pPr>
      <w:r>
        <w:t>Законодательство не содержит прямых ука</w:t>
      </w:r>
      <w:r>
        <w:t>заний о направлении работника на медосмотр после нахождения на больничном листке</w:t>
      </w:r>
      <w:r>
        <w:t>.</w:t>
      </w:r>
    </w:p>
    <w:p w:rsidR="00000000" w:rsidRDefault="009F2DAA">
      <w:pPr>
        <w:pStyle w:val="a3"/>
        <w:divId w:val="1317535947"/>
      </w:pPr>
      <w:r>
        <w:t>Работодателю необходимо обратить внимание на документы, которые представил работник по выходе с листка нетрудоспособности. Если листок временной нетрудоспособности закрыт в о</w:t>
      </w:r>
      <w:r>
        <w:t>бщем порядке, без направлений на освидетельствование в МСЭ и работник не представлял никаких медицинских заключений по поводу легкого труда и т. д., то сотрудник может приступить к исполнению своих трудовых обязанностей</w:t>
      </w:r>
      <w:r>
        <w:t>.</w:t>
      </w:r>
    </w:p>
    <w:p w:rsidR="00000000" w:rsidRDefault="009F2DAA">
      <w:pPr>
        <w:pStyle w:val="a3"/>
        <w:divId w:val="1317535947"/>
      </w:pPr>
      <w:r>
        <w:t>При сроке временной нетрудоспособно</w:t>
      </w:r>
      <w:r>
        <w:t>сти, превышающем 15 календарных дней, врачи направляют гражданина на врачебную комиссию в медицинскую организацию по месту его прикрепления или регистрации по месту жительства (по месту пребывания, временного проживания) для продления листка нетрудоспособн</w:t>
      </w:r>
      <w:r>
        <w:t xml:space="preserve">ости </w:t>
      </w:r>
      <w:r>
        <w:t>(</w:t>
      </w:r>
      <w:hyperlink r:id="rId12" w:anchor="/document/99/902287609/" w:history="1">
        <w:r>
          <w:rPr>
            <w:rStyle w:val="a4"/>
          </w:rPr>
          <w:t>приказ Минздравсоцразвития России от 29 июня 2011 г. № 624н</w:t>
        </w:r>
      </w:hyperlink>
      <w:r>
        <w:t xml:space="preserve"> «Об утверждении Порядка выдачи листков нетрудоспособности»)</w:t>
      </w:r>
      <w:r>
        <w:t>.</w:t>
      </w:r>
    </w:p>
    <w:p w:rsidR="00000000" w:rsidRDefault="009F2DAA">
      <w:pPr>
        <w:pStyle w:val="a3"/>
        <w:divId w:val="1317535947"/>
      </w:pPr>
      <w:r>
        <w:t>Если по результатам экспертизы инвалидность лицу не будет устано</w:t>
      </w:r>
      <w:r>
        <w:t>влена, то больничный листок продлевается до восстановления трудоспособности или до повторного направления на МСЭ. Таким образом, листок нетрудоспособности продлевается до тех пор, пока работник не выздоровеет или пока не будет установлена инвалидность</w:t>
      </w:r>
      <w:r>
        <w:t>.</w:t>
      </w:r>
    </w:p>
    <w:p w:rsidR="00000000" w:rsidRDefault="009F2DAA">
      <w:pPr>
        <w:pStyle w:val="a3"/>
        <w:divId w:val="1317535947"/>
      </w:pPr>
      <w:r>
        <w:t xml:space="preserve">По </w:t>
      </w:r>
      <w:r>
        <w:t>решению врачебной комиссии при благоприятном клиническом и трудовом прогнозе листок нетрудоспособности может быть выдан в установленном порядке до дня восстановления трудоспособности, но на срок не более 10 месяцев, а в отдельных случаях (травмы, состояния</w:t>
      </w:r>
      <w:r>
        <w:t xml:space="preserve"> после реконструктивных операций, туберкулез) – на срок не более 12 месяцев с периодичностью продления по решению врачебной комиссии не реже чем через 15 календарных дней</w:t>
      </w:r>
      <w:r>
        <w:t>.</w:t>
      </w:r>
    </w:p>
    <w:p w:rsidR="00000000" w:rsidRDefault="009F2DAA">
      <w:pPr>
        <w:pStyle w:val="a3"/>
        <w:divId w:val="1317535947"/>
      </w:pPr>
      <w:r>
        <w:t>Если есть сомнения относительно здоровья и работоспособности сотрудника, то его можн</w:t>
      </w:r>
      <w:r>
        <w:t>о отправить на внеплановый медицинский осмотр для получения заключения о возможности продолжения работы в должности. В направлении можно указать, что имел место длительный больничный листок</w:t>
      </w:r>
      <w:r>
        <w:t>.</w:t>
      </w:r>
    </w:p>
    <w:p w:rsidR="00000000" w:rsidRDefault="009F2DAA">
      <w:pPr>
        <w:pStyle w:val="a3"/>
        <w:divId w:val="1317535947"/>
      </w:pPr>
      <w:r>
        <w:t>Следует отметить, что судебная практика по данным вопросам против</w:t>
      </w:r>
      <w:r>
        <w:t>оречива. Как правило, при выявлении у работника противопоказаний для работы при дополнительном медосмотре суды соглашаются с правомерностью направления работника на медосмотр. При уклонении сотрудника от прохождения медосмотра чаще встают на сторону работн</w:t>
      </w:r>
      <w:r>
        <w:t>ика</w:t>
      </w:r>
      <w:r>
        <w:t>.</w:t>
      </w:r>
    </w:p>
    <w:p w:rsidR="00000000" w:rsidRDefault="009F2DAA">
      <w:pPr>
        <w:pStyle w:val="a3"/>
        <w:divId w:val="1317535947"/>
      </w:pPr>
      <w:r>
        <w:lastRenderedPageBreak/>
        <w:t xml:space="preserve">Также необходимо отметить, что работник обязан немедленно извещать своего непосредственного или вышестоящего руководителя об ухудшении состояния своего здоровья, в том числе о проявлении признаков острого профзаболевания (отравления) </w:t>
      </w:r>
      <w:r>
        <w:t>(</w:t>
      </w:r>
      <w:hyperlink r:id="rId13" w:anchor="/document/99/901807664/XA00MCS2N5/" w:tooltip="Статья 214. Обязанности работника в области охраны труда" w:history="1">
        <w:r>
          <w:rPr>
            <w:rStyle w:val="a4"/>
          </w:rPr>
          <w:t>ст. 214 ТК РФ</w:t>
        </w:r>
      </w:hyperlink>
      <w:r>
        <w:t>). Работодатель при наличии явных признаков, свидетельствующих о снижении трудоспособности работника, мож</w:t>
      </w:r>
      <w:r>
        <w:t>ет направить его на медосмотр с сохранением на период прохождения такого осмотра среднего заработка сотрудника (ст.</w:t>
      </w:r>
      <w:r>
        <w:t xml:space="preserve"> </w:t>
      </w:r>
      <w:hyperlink r:id="rId14" w:anchor="/document/99/901807664/XA00M582MS/" w:tooltip="Статья 185. Гарантии работникам, направляемым на медицинский осмотр" w:history="1">
        <w:r>
          <w:rPr>
            <w:rStyle w:val="a4"/>
          </w:rPr>
          <w:t>185</w:t>
        </w:r>
      </w:hyperlink>
      <w:r>
        <w:t xml:space="preserve"> и</w:t>
      </w:r>
      <w:r>
        <w:t xml:space="preserve"> </w:t>
      </w:r>
      <w:hyperlink r:id="rId15" w:anchor="/document/99/901807664/XA00RN82OT/" w:tooltip="Статья 219. Право работника на труд в условиях, отвечающих требованиям охраны труда" w:history="1">
        <w:r>
          <w:rPr>
            <w:rStyle w:val="a4"/>
          </w:rPr>
          <w:t>219</w:t>
        </w:r>
      </w:hyperlink>
      <w:r>
        <w:t xml:space="preserve"> ТК РФ)</w:t>
      </w:r>
      <w:r>
        <w:t>.</w:t>
      </w:r>
    </w:p>
    <w:p w:rsidR="009F2DAA" w:rsidRDefault="009F2DAA">
      <w:pPr>
        <w:divId w:val="7678921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 xml:space="preserve">Дата </w:t>
      </w:r>
      <w:r>
        <w:rPr>
          <w:rFonts w:ascii="Arial" w:eastAsia="Times New Roman" w:hAnsi="Arial" w:cs="Arial"/>
          <w:sz w:val="20"/>
          <w:szCs w:val="20"/>
        </w:rPr>
        <w:t>копирования: 13.06.2018</w:t>
      </w:r>
    </w:p>
    <w:sectPr w:rsidR="009F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5979"/>
    <w:multiLevelType w:val="multilevel"/>
    <w:tmpl w:val="6922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62B4B"/>
    <w:multiLevelType w:val="multilevel"/>
    <w:tmpl w:val="1B0A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A359A0"/>
    <w:rsid w:val="009F2DAA"/>
    <w:rsid w:val="00A3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9212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59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234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057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252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6725</Characters>
  <Application>Microsoft Office Word</Application>
  <DocSecurity>0</DocSecurity>
  <Lines>56</Lines>
  <Paragraphs>15</Paragraphs>
  <ScaleCrop>false</ScaleCrop>
  <Company/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2018-07-03T07:22:00Z</dcterms:created>
  <dcterms:modified xsi:type="dcterms:W3CDTF">2018-07-03T07:22:00Z</dcterms:modified>
</cp:coreProperties>
</file>