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313BE">
      <w:pPr>
        <w:pStyle w:val="electron-p"/>
        <w:spacing w:after="280" w:afterAutospacing="1"/>
      </w:pPr>
      <w:r>
        <w:t>Электронный журнал</w:t>
      </w:r>
    </w:p>
    <w:p w:rsidR="00000000" w:rsidRDefault="00D22FD2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5" name="Рисунок 5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313BE">
      <w:pPr>
        <w:spacing w:after="280" w:afterAutospacing="1"/>
      </w:pPr>
      <w:r>
        <w:t>Несчастные случаи и профзаболевания / особенности расследования</w:t>
      </w:r>
    </w:p>
    <w:p w:rsidR="00000000" w:rsidRDefault="009313BE">
      <w:pPr>
        <w:spacing w:after="280" w:afterAutospacing="1"/>
      </w:pPr>
      <w:r>
        <w:rPr>
          <w:b/>
          <w:bCs/>
        </w:rPr>
        <w:t>Травма после драки на работе: когда обязательно связать с производством</w:t>
      </w:r>
    </w:p>
    <w:p w:rsidR="00000000" w:rsidRDefault="009313BE">
      <w:pPr>
        <w:spacing w:after="280" w:afterAutospacing="1"/>
      </w:pPr>
      <w:r>
        <w:rPr>
          <w:b/>
          <w:bCs/>
        </w:rPr>
        <w:t>Юлия ШИХАЛЕВА</w:t>
      </w:r>
      <w:r>
        <w:br/>
        <w:t xml:space="preserve">эксперт журнала "Справочник специалиста по охране труда" </w:t>
      </w:r>
    </w:p>
    <w:p w:rsidR="00000000" w:rsidRDefault="009313BE">
      <w:pPr>
        <w:spacing w:after="280" w:afterAutospacing="1"/>
      </w:pPr>
      <w:r>
        <w:t>В Ярославле пьяный сва</w:t>
      </w:r>
      <w:r>
        <w:t>рщик зарезал коллегу. Во время ссоры в слесарной мастерской он избил работника, а затем нанес ему один удар ножом в грудь. В результате потерпевший умер на месте. В Кировской области два сослуживца в офисе поссорились из-за ошибки в документах. Один из них</w:t>
      </w:r>
      <w:r>
        <w:t xml:space="preserve"> в порыве эмоций разбил лицо товарищу по работе. Нужно ли проводить расследование таких несчастных случаев? Может ли комиссия не квалифицировать их как производственную травму, если в больничном пострадавшего стоит код 04?</w:t>
      </w:r>
    </w:p>
    <w:p w:rsidR="00000000" w:rsidRDefault="009313BE">
      <w:pPr>
        <w:pStyle w:val="2"/>
        <w:spacing w:after="280" w:afterAutospacing="1"/>
      </w:pPr>
      <w:r>
        <w:t>Нужно ли расследовать</w:t>
      </w:r>
    </w:p>
    <w:p w:rsidR="00000000" w:rsidRDefault="009313BE">
      <w:pPr>
        <w:spacing w:after="280" w:afterAutospacing="1"/>
      </w:pPr>
      <w:r>
        <w:t>Каждый к</w:t>
      </w:r>
      <w:r>
        <w:t xml:space="preserve">онфликт или драку, в которых хотя бы один из сотрудников получил травму с временной или стойкой утратой трудоспособности, нужно расследовать как несчастный случай. Комиссия по расследованию должна изучить обстоятельства происшедшего, опросить пострадавших </w:t>
      </w:r>
      <w:r>
        <w:t>и очевидцев, установить причины несчастного случая и виновных лиц (</w:t>
      </w:r>
      <w:r>
        <w:rPr>
          <w:rStyle w:val="Spanlink"/>
          <w:u w:val="single"/>
        </w:rPr>
        <w:t>ст. 229.2</w:t>
      </w:r>
      <w:r>
        <w:t xml:space="preserve"> ТК). Поэтому определите: </w:t>
      </w:r>
    </w:p>
    <w:p w:rsidR="00000000" w:rsidRDefault="009313BE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9313BE">
      <w:pPr>
        <w:pStyle w:val="H3remark-h3"/>
        <w:spacing w:after="280" w:afterAutospacing="1"/>
      </w:pPr>
      <w:r>
        <w:t>Важно</w:t>
      </w:r>
    </w:p>
    <w:p w:rsidR="00000000" w:rsidRDefault="009313BE">
      <w:pPr>
        <w:pStyle w:val="remark-p"/>
        <w:spacing w:after="280" w:afterAutospacing="1"/>
      </w:pPr>
      <w:r>
        <w:t xml:space="preserve">Запись в больничном «травма на производстве» — это одно из оснований для расследования несчастного случая. Она не является 100% заключением, что </w:t>
      </w:r>
      <w:r>
        <w:t xml:space="preserve">травму нужно квалифицировать как производственную </w:t>
      </w:r>
    </w:p>
    <w:p w:rsidR="00000000" w:rsidRDefault="009313BE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9313BE"/>
    <w:p w:rsidR="00000000" w:rsidRDefault="009313BE">
      <w:pPr>
        <w:pStyle w:val="Ul"/>
        <w:numPr>
          <w:ilvl w:val="0"/>
          <w:numId w:val="1"/>
        </w:numPr>
      </w:pPr>
      <w:r>
        <w:t>относится ли пострадавший к сотрудникам, которые участвуют в производственной деятельности работодателя (</w:t>
      </w:r>
      <w:r>
        <w:rPr>
          <w:rStyle w:val="Spanlink"/>
          <w:u w:val="single"/>
        </w:rPr>
        <w:t>ч. 2 ст. 227</w:t>
      </w:r>
      <w:r>
        <w:t xml:space="preserve"> ТК); </w:t>
      </w:r>
    </w:p>
    <w:p w:rsidR="00000000" w:rsidRDefault="009313BE">
      <w:pPr>
        <w:pStyle w:val="Ul"/>
        <w:numPr>
          <w:ilvl w:val="0"/>
          <w:numId w:val="1"/>
        </w:numPr>
      </w:pPr>
      <w:r>
        <w:lastRenderedPageBreak/>
        <w:t>наступила ли у пострадавшего временная или стойкая потеря трудоспособности либ</w:t>
      </w:r>
      <w:r>
        <w:t>о смерть в результате нанесенных ушибов и травм (</w:t>
      </w:r>
      <w:r>
        <w:rPr>
          <w:rStyle w:val="Spanlink"/>
          <w:u w:val="single"/>
        </w:rPr>
        <w:t>ч. 3 ст. 227</w:t>
      </w:r>
      <w:r>
        <w:t xml:space="preserve"> ТК); </w:t>
      </w:r>
    </w:p>
    <w:p w:rsidR="00000000" w:rsidRDefault="009313BE">
      <w:pPr>
        <w:pStyle w:val="Ul"/>
        <w:numPr>
          <w:ilvl w:val="0"/>
          <w:numId w:val="1"/>
        </w:numPr>
        <w:spacing w:after="280" w:afterAutospacing="1"/>
      </w:pPr>
      <w:r>
        <w:t>время, место и другие обстоятельства драки (</w:t>
      </w:r>
      <w:r>
        <w:rPr>
          <w:rStyle w:val="Spanlink"/>
          <w:u w:val="single"/>
        </w:rPr>
        <w:t>ч. 3 ст. 227</w:t>
      </w:r>
      <w:r>
        <w:t xml:space="preserve"> ТК). </w:t>
      </w:r>
    </w:p>
    <w:p w:rsidR="00000000" w:rsidRDefault="009313BE">
      <w:pPr>
        <w:spacing w:after="280" w:afterAutospacing="1"/>
      </w:pPr>
      <w:r>
        <w:t>Только после тщательного расследования комиссия может квалифицировать происшествие как несчастный случай, связанный или не св</w:t>
      </w:r>
      <w:r>
        <w:t>язанный с производством.</w:t>
      </w:r>
    </w:p>
    <w:p w:rsidR="00000000" w:rsidRDefault="009313BE">
      <w:pPr>
        <w:spacing w:after="280" w:afterAutospacing="1"/>
      </w:pPr>
      <w:r>
        <w:t xml:space="preserve">Квалификация несчастного случая напрямую зависит от обстоятельств случившегося и действий пострадавшего сотрудника. Разберем типичные ситуации и разъясним, какое решение должна принять комиссия в каждом случае. </w:t>
      </w:r>
    </w:p>
    <w:p w:rsidR="00000000" w:rsidRDefault="009313BE">
      <w:pPr>
        <w:pStyle w:val="2"/>
        <w:spacing w:after="280" w:afterAutospacing="1"/>
      </w:pPr>
      <w:r>
        <w:t>Первая ситуация. На</w:t>
      </w:r>
      <w:r>
        <w:t>падение третьих лиц</w:t>
      </w:r>
    </w:p>
    <w:p w:rsidR="00000000" w:rsidRDefault="009313BE"/>
    <w:p w:rsidR="00000000" w:rsidRDefault="009313BE">
      <w:pPr>
        <w:spacing w:after="280" w:afterAutospacing="1"/>
      </w:pPr>
      <w:r>
        <w:t>На сотрудника во время работы напали третьи лица. Это могут быть покупатели, которые нанесли травму продавцу в магазине, люди, которые проникли на территорию предприятия, пассажир</w:t>
      </w:r>
      <w:r>
        <w:t xml:space="preserve">ы, которые избили водителя или кондуктора.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9313BE">
            <w:pPr>
              <w:pStyle w:val="example-p"/>
            </w:pPr>
            <w:r>
              <w:rPr>
                <w:b/>
                <w:bCs/>
              </w:rPr>
              <w:t xml:space="preserve">Пример. </w:t>
            </w:r>
            <w:r>
              <w:t>В Нижнем Новгороде во время ремонта трубопровода произошла драка. Пострадали несколько рабочих. Они вели ремонтные работы на трубопроводе. Электрогазосварщик находился в траншее, проводил сварочные работы</w:t>
            </w:r>
            <w:r>
              <w:t xml:space="preserve">, а мастер и слесарь были наверху траншеи. В это время к ним подошла группа незнакомых людей, они стали наносить работникам удары. В результате мастер получил черепно-мозговую травму, перелом костей носа и нижней челюсти. Двум другим сотрудникам причинили </w:t>
            </w:r>
            <w:r>
              <w:t xml:space="preserve">легкие повреждения. </w:t>
            </w:r>
          </w:p>
        </w:tc>
      </w:tr>
    </w:tbl>
    <w:p w:rsidR="00000000" w:rsidRDefault="009313BE"/>
    <w:p w:rsidR="00000000" w:rsidRDefault="009313BE">
      <w:pPr>
        <w:spacing w:after="280" w:afterAutospacing="1"/>
      </w:pPr>
      <w:r>
        <w:t xml:space="preserve">После расследования несчастного случая комиссия однозначно квалифицировала его как связанный с производством: работники не нарушали трудовую дисциплину, а руководитель работ не обеспечил безопасные условия труда. </w:t>
      </w:r>
    </w:p>
    <w:p w:rsidR="00000000" w:rsidRDefault="009313BE">
      <w:pPr>
        <w:spacing w:after="280" w:afterAutospacing="1"/>
      </w:pPr>
      <w:r>
        <w:rPr>
          <w:b/>
          <w:bCs/>
        </w:rPr>
        <w:t>Как квалифицировать</w:t>
      </w:r>
      <w:r>
        <w:rPr>
          <w:b/>
          <w:bCs/>
        </w:rPr>
        <w:t>.</w:t>
      </w:r>
      <w:r>
        <w:t xml:space="preserve"> Связать с производством. </w:t>
      </w:r>
    </w:p>
    <w:p w:rsidR="00000000" w:rsidRDefault="009313BE">
      <w:pPr>
        <w:pStyle w:val="2"/>
        <w:spacing w:after="280" w:afterAutospacing="1"/>
      </w:pPr>
      <w:r>
        <w:lastRenderedPageBreak/>
        <w:t>Вторая ситуация. Драка между работниками</w:t>
      </w:r>
    </w:p>
    <w:p w:rsidR="00000000" w:rsidRDefault="009313BE">
      <w:pPr>
        <w:spacing w:after="280" w:afterAutospacing="1"/>
      </w:pPr>
      <w:r>
        <w:t xml:space="preserve">Во время работы сотрудники подрались из-за личной неприязни. Зачинщик нарушил трудовую дисциплину. </w:t>
      </w:r>
    </w:p>
    <w:p w:rsidR="00000000" w:rsidRDefault="009313BE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9313BE">
      <w:pPr>
        <w:pStyle w:val="H3remark-h3"/>
        <w:spacing w:after="280" w:afterAutospacing="1"/>
      </w:pPr>
      <w:r>
        <w:t>Обратите внимание</w:t>
      </w:r>
    </w:p>
    <w:p w:rsidR="00000000" w:rsidRDefault="009313BE">
      <w:pPr>
        <w:pStyle w:val="remark-p"/>
        <w:spacing w:after="280" w:afterAutospacing="1"/>
      </w:pPr>
      <w:r>
        <w:t>Включите в комиссию по расследованию представителя ФСС. Это поможет</w:t>
      </w:r>
      <w:r>
        <w:t xml:space="preserve"> избежать разногласий по квалификации и отказа ФСС признать несчастный случай страховым </w:t>
      </w:r>
    </w:p>
    <w:p w:rsidR="00000000" w:rsidRDefault="009313BE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9313BE"/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9313BE">
            <w:pPr>
              <w:pStyle w:val="example-p"/>
            </w:pPr>
            <w:r>
              <w:rPr>
                <w:b/>
                <w:bCs/>
              </w:rPr>
              <w:t xml:space="preserve">Пример. </w:t>
            </w:r>
            <w:r>
              <w:t>На кондитерской фабрике слесарь подрался со своим коллегой, получил черепно-мозговую травму, что привело к инвалидности. Обидчик вину не отрицал, но утвержд</w:t>
            </w:r>
            <w:r>
              <w:t>ал, что потерпевший сам спровоцировал драку из-за личных неприязненных отношений. Комиссия по расследованию квалифицировала случай как связанный с производством. Пострадавший подал иск в суд против фабрики и своего обидчика. Он требовал возместить причинен</w:t>
            </w:r>
            <w:r>
              <w:t>ный вред и средства на лечение. Также потерпевший обратился в ФСС за причитающимися выплатами. Фонд не признал случай страховым. Представитель ФСС подал встречный иск и потребовал признать недействительным составленный фабрикой акт о несчастном случае на п</w:t>
            </w:r>
            <w:r>
              <w:t xml:space="preserve">роизводстве. Суд согласился с доводами фонда и вынес решение, что травмы пострадавший получил из-за нарушения трудовой дисциплины. </w:t>
            </w:r>
          </w:p>
        </w:tc>
      </w:tr>
    </w:tbl>
    <w:p w:rsidR="00000000" w:rsidRDefault="009313BE"/>
    <w:p w:rsidR="00000000" w:rsidRDefault="009313BE">
      <w:pPr>
        <w:spacing w:after="280" w:afterAutospacing="1"/>
      </w:pPr>
      <w:r>
        <w:t>В такой ситуации потерпевший может рассчитывать на компенсацию морального вреда от обидчика (</w:t>
      </w:r>
      <w:r>
        <w:rPr>
          <w:rStyle w:val="Spanlink"/>
          <w:u w:val="single"/>
        </w:rPr>
        <w:t>ст. 1099–1101</w:t>
      </w:r>
      <w:r>
        <w:t xml:space="preserve"> ГК). Если следс</w:t>
      </w:r>
      <w:r>
        <w:t>твенные органы по факту драки возбудили уголовное дело в отношении работника, то у комиссии есть основание не связывать несчастный случай с производством (</w:t>
      </w:r>
      <w:r>
        <w:rPr>
          <w:rStyle w:val="Spanlink"/>
          <w:u w:val="single"/>
        </w:rPr>
        <w:t>ч. 6 ст. 229.2</w:t>
      </w:r>
      <w:r>
        <w:t xml:space="preserve"> ТК). </w:t>
      </w:r>
    </w:p>
    <w:p w:rsidR="00000000" w:rsidRDefault="009313BE">
      <w:pPr>
        <w:spacing w:after="280" w:afterAutospacing="1"/>
      </w:pPr>
      <w:r>
        <w:rPr>
          <w:b/>
          <w:bCs/>
        </w:rPr>
        <w:t>Как квалифицировать.</w:t>
      </w:r>
      <w:r>
        <w:t xml:space="preserve"> Не связывать с производством. </w:t>
      </w:r>
    </w:p>
    <w:p w:rsidR="00000000" w:rsidRDefault="009313BE">
      <w:pPr>
        <w:pStyle w:val="2"/>
        <w:spacing w:after="280" w:afterAutospacing="1"/>
      </w:pPr>
      <w:r>
        <w:t>Третья ситуация. Драка на ко</w:t>
      </w:r>
      <w:r>
        <w:t>рпоративе</w:t>
      </w:r>
    </w:p>
    <w:p w:rsidR="00000000" w:rsidRDefault="009313BE">
      <w:pPr>
        <w:spacing w:after="280" w:afterAutospacing="1"/>
      </w:pPr>
      <w:r>
        <w:t>Драка произошла не на рабочем месте, а на корпоративе, который организовал работодатель.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9313BE">
            <w:pPr>
              <w:pStyle w:val="example-p"/>
            </w:pPr>
            <w:r>
              <w:rPr>
                <w:b/>
                <w:bCs/>
              </w:rPr>
              <w:lastRenderedPageBreak/>
              <w:t xml:space="preserve">Пример. </w:t>
            </w:r>
            <w:r>
              <w:t xml:space="preserve">Сотрудник во время драки на новогоднем корпоративе получил травму и потребовал, чтобы руководство компании оплатило ему лечение. Пострадавший решил, </w:t>
            </w:r>
            <w:r>
              <w:t xml:space="preserve">что если вечеринку для сотрудников устроил начальник и она проходила на территории предприятия, значит побои — это производственная травма. Комиссия работодателя расследовала несчастный случай и пришла к выводу, что происшествие нельзя квалифицировать как </w:t>
            </w:r>
            <w:r>
              <w:t xml:space="preserve">производственную травму. Работник с такими выводами не согласился и обратился в суд. </w:t>
            </w:r>
          </w:p>
        </w:tc>
      </w:tr>
    </w:tbl>
    <w:p w:rsidR="00000000" w:rsidRDefault="009313BE"/>
    <w:p w:rsidR="00000000" w:rsidRDefault="009313BE">
      <w:pPr>
        <w:spacing w:after="280" w:afterAutospacing="1"/>
      </w:pPr>
      <w:r>
        <w:t>Во время заседания суд выяснил, что работодатель не издавал приказ об обязательном присутствии на новогоднем корпоративе. Сотрудники пришли на него добровольно, по приг</w:t>
      </w:r>
      <w:r>
        <w:t xml:space="preserve">лашению. Сама вечеринка проходила в нерабочее время. Значит, нет оснований, чтобы квалифицировать драку как несчастный случай на производстве. </w:t>
      </w:r>
    </w:p>
    <w:p w:rsidR="00000000" w:rsidRDefault="009313BE">
      <w:pPr>
        <w:spacing w:after="280" w:afterAutospacing="1"/>
      </w:pPr>
      <w:r>
        <w:rPr>
          <w:b/>
          <w:bCs/>
        </w:rPr>
        <w:t>Как квалифицировать.</w:t>
      </w:r>
      <w:r>
        <w:t xml:space="preserve"> Не связывать с производством. </w:t>
      </w:r>
    </w:p>
    <w:p w:rsidR="00000000" w:rsidRDefault="009313BE">
      <w:pPr>
        <w:pStyle w:val="2"/>
        <w:spacing w:after="280" w:afterAutospacing="1"/>
      </w:pPr>
      <w:r>
        <w:t>Четвертая ситуация. Разборка между коллегами</w:t>
      </w:r>
    </w:p>
    <w:p w:rsidR="00000000" w:rsidRDefault="009313BE">
      <w:pPr>
        <w:spacing w:after="280" w:afterAutospacing="1"/>
      </w:pPr>
      <w:r>
        <w:t>Сотрудник отста</w:t>
      </w:r>
      <w:r>
        <w:t>ивал свое право выполнять трудовые обязанности и получил травму.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9313BE">
            <w:pPr>
              <w:pStyle w:val="example-p"/>
            </w:pPr>
            <w:r>
              <w:rPr>
                <w:b/>
                <w:bCs/>
              </w:rPr>
              <w:t xml:space="preserve">Пример. </w:t>
            </w:r>
            <w:r>
              <w:t xml:space="preserve">Во время рабочей смены контролер выяснила, что водитель автобуса получает от пассажиров деньги за проезд, но не выдает проездные талоны. По факту нарушения контролер стала составлять </w:t>
            </w:r>
            <w:r>
              <w:t xml:space="preserve">акт. Водителю это не понравилось, между ними завязалась потасовка, которая переросла в драку. Контролер получила легкие травмы. Комиссия по расследованию сделала вывод, что контролер пострадала из-за того, что отстаивала свои трудовые обязанности. </w:t>
            </w:r>
          </w:p>
        </w:tc>
      </w:tr>
    </w:tbl>
    <w:p w:rsidR="00000000" w:rsidRDefault="009313BE"/>
    <w:p w:rsidR="00000000" w:rsidRDefault="009313BE">
      <w:pPr>
        <w:spacing w:after="280" w:afterAutospacing="1"/>
      </w:pPr>
      <w:r>
        <w:rPr>
          <w:b/>
          <w:bCs/>
        </w:rPr>
        <w:t>Как к</w:t>
      </w:r>
      <w:r>
        <w:rPr>
          <w:b/>
          <w:bCs/>
        </w:rPr>
        <w:t xml:space="preserve">валифицировать. </w:t>
      </w:r>
      <w:r>
        <w:t xml:space="preserve">Связать с производством. </w:t>
      </w:r>
    </w:p>
    <w:p w:rsidR="00000000" w:rsidRDefault="009313BE">
      <w:pPr>
        <w:pStyle w:val="2"/>
        <w:spacing w:after="280" w:afterAutospacing="1"/>
      </w:pPr>
      <w:r>
        <w:lastRenderedPageBreak/>
        <w:t>Пятая ситуация. Потасовка со смертельным исходом</w:t>
      </w:r>
    </w:p>
    <w:p w:rsidR="00000000" w:rsidRDefault="009313BE">
      <w:pPr>
        <w:spacing w:after="280" w:afterAutospacing="1"/>
      </w:pPr>
      <w:r>
        <w:t>Сотрудники на рабочем месте затеяли потасовку. Умысла нанести друг другу травмы не было.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9313BE">
            <w:pPr>
              <w:pStyle w:val="example-p"/>
            </w:pPr>
            <w:r>
              <w:rPr>
                <w:b/>
                <w:bCs/>
              </w:rPr>
              <w:t xml:space="preserve">Пример. </w:t>
            </w:r>
            <w:r>
              <w:t>Несчастный случай произошел в токарном цехе. Двое сотрудников общали</w:t>
            </w:r>
            <w:r>
              <w:t>сь в узком проходе между станками. Во время разговора один рабочий в шутку несильно толкнул коллегу. От неожиданного толчка в спину он потерял равновесие и верхней частью тела упал на вращающийся патрон токарно-винторезного станка. Из-за травм работник ско</w:t>
            </w:r>
            <w:r>
              <w:t xml:space="preserve">нчался на месте. Расследование показало, что на станке не было ограждения патрона и области резки. Также к несчастному случаю привели неосторожные действия одного из сотрудников. </w:t>
            </w:r>
          </w:p>
        </w:tc>
      </w:tr>
    </w:tbl>
    <w:p w:rsidR="00000000" w:rsidRDefault="009313BE"/>
    <w:p w:rsidR="00000000" w:rsidRDefault="009313BE">
      <w:pPr>
        <w:spacing w:after="280" w:afterAutospacing="1"/>
      </w:pPr>
      <w:r>
        <w:rPr>
          <w:b/>
          <w:bCs/>
        </w:rPr>
        <w:t>Как квалифицировать.</w:t>
      </w:r>
      <w:r>
        <w:t xml:space="preserve"> Связать с производством.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9313BE">
            <w:pPr>
              <w:pStyle w:val="H3inline-h3"/>
              <w:spacing w:after="280" w:afterAutospacing="1"/>
            </w:pPr>
            <w:r>
              <w:t>КОММЕНТАРИЙ РЕДАКЦИИ</w:t>
            </w:r>
          </w:p>
          <w:p w:rsidR="00000000" w:rsidRDefault="009313BE">
            <w:pPr>
              <w:pStyle w:val="4"/>
              <w:spacing w:after="280" w:afterAutospacing="1"/>
            </w:pPr>
            <w:r>
              <w:t>Можно </w:t>
            </w:r>
            <w:r>
              <w:t>ли наказать сотрудников за драку</w:t>
            </w:r>
          </w:p>
          <w:p w:rsidR="00000000" w:rsidRDefault="009313BE">
            <w:pPr>
              <w:pStyle w:val="inline-p"/>
              <w:spacing w:after="280" w:afterAutospacing="1"/>
            </w:pPr>
            <w:r>
              <w:t>Если в результате расследования комиссия не связала несчастный случай с производством, участников драки можно привлечь к дисциплинарному взысканию (</w:t>
            </w:r>
            <w:r>
              <w:rPr>
                <w:rStyle w:val="Spanlink"/>
                <w:u w:val="single"/>
              </w:rPr>
              <w:t>ст. 192</w:t>
            </w:r>
            <w:r>
              <w:t xml:space="preserve"> ТК). Это может быть замечание, выговор или увольнение. </w:t>
            </w:r>
          </w:p>
          <w:p w:rsidR="00000000" w:rsidRDefault="009313BE">
            <w:pPr>
              <w:pStyle w:val="inline-p"/>
              <w:spacing w:after="280" w:afterAutospacing="1"/>
            </w:pPr>
            <w:r>
              <w:t>Нельзя прим</w:t>
            </w:r>
            <w:r>
              <w:t xml:space="preserve">енять к сотруднику наказание, которого нет в законе, например, лишить части зарплаты. За это компанию привлекут к административной ответственности и назначат штраф на сумму до 50 000 рублей (ч. </w:t>
            </w:r>
            <w:r>
              <w:rPr>
                <w:rStyle w:val="Spanlink"/>
                <w:u w:val="single"/>
              </w:rPr>
              <w:t>1</w:t>
            </w:r>
            <w:r>
              <w:t xml:space="preserve"> и </w:t>
            </w:r>
            <w:r>
              <w:rPr>
                <w:rStyle w:val="Spanlink"/>
                <w:u w:val="single"/>
              </w:rPr>
              <w:t>4</w:t>
            </w:r>
            <w:r>
              <w:t xml:space="preserve"> ст. 5.27 КоАП). </w:t>
            </w:r>
          </w:p>
          <w:p w:rsidR="00000000" w:rsidRDefault="009313BE">
            <w:pPr>
              <w:pStyle w:val="inline-p"/>
            </w:pPr>
            <w:r>
              <w:t>Зачинщику драки можно урезать часть пре</w:t>
            </w:r>
            <w:r>
              <w:t xml:space="preserve">мии или не выдать ее совсем, если такая возможность предусмотрена в локальных актах предприятия, например в Положении о премировании. </w:t>
            </w:r>
          </w:p>
        </w:tc>
      </w:tr>
    </w:tbl>
    <w:p w:rsidR="00000000" w:rsidRDefault="009313BE"/>
    <w:p w:rsidR="009313BE" w:rsidRDefault="009313BE">
      <w:pPr>
        <w:spacing w:after="280" w:afterAutospacing="1"/>
      </w:pPr>
      <w:r>
        <w:br/>
        <w:t xml:space="preserve">  </w:t>
      </w:r>
    </w:p>
    <w:sectPr w:rsidR="009313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9313BE"/>
    <w:rsid w:val="00D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  <w:style w:type="paragraph" w:customStyle="1" w:styleId="H2quiz2-title-h2">
    <w:name w:val="H2_quiz2-title-h2"/>
    <w:basedOn w:val="2"/>
    <w:pPr>
      <w:spacing w:after="195" w:line="300" w:lineRule="atLeast"/>
    </w:pPr>
    <w:rPr>
      <w:color w:val="403D32"/>
      <w:sz w:val="44"/>
      <w:szCs w:val="44"/>
    </w:rPr>
  </w:style>
  <w:style w:type="paragraph" w:customStyle="1" w:styleId="Tdquiz2-answer">
    <w:name w:val="Td_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2018-07-03T07:13:00Z</dcterms:created>
  <dcterms:modified xsi:type="dcterms:W3CDTF">2018-07-03T07:13:00Z</dcterms:modified>
</cp:coreProperties>
</file>