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06E5">
      <w:pPr>
        <w:pStyle w:val="printredaction-line"/>
        <w:divId w:val="1123429217"/>
      </w:pPr>
      <w:r>
        <w:t>Редакция от 1 янв 2016</w:t>
      </w:r>
    </w:p>
    <w:p w:rsidR="00000000" w:rsidRDefault="00C006E5">
      <w:pPr>
        <w:pStyle w:val="2"/>
        <w:divId w:val="1123429217"/>
        <w:rPr>
          <w:rFonts w:eastAsia="Times New Roman"/>
        </w:rPr>
      </w:pPr>
      <w:r>
        <w:rPr>
          <w:rFonts w:eastAsia="Times New Roman"/>
        </w:rPr>
        <w:t>Требования к переносным заземлениям</w:t>
      </w:r>
    </w:p>
    <w:p w:rsidR="00000000" w:rsidRDefault="00C006E5">
      <w:pPr>
        <w:pStyle w:val="a3"/>
        <w:divId w:val="1123429217"/>
      </w:pPr>
      <w:r>
        <w:rPr>
          <w:b/>
          <w:bCs/>
        </w:rPr>
        <w:t>Кутузова Татьяна</w:t>
      </w:r>
    </w:p>
    <w:p w:rsidR="00000000" w:rsidRDefault="00C006E5">
      <w:pPr>
        <w:pStyle w:val="a3"/>
        <w:divId w:val="1716347272"/>
      </w:pPr>
      <w:r>
        <w:t>Переносные заземления защищают работающих на отключенных токоведущих частях электроустановок от ошибочно поданного или наведенного напряжения при отсутствии стационарных заземляющих ножей. Это указано в</w:t>
      </w:r>
      <w:r>
        <w:t xml:space="preserve"> </w:t>
      </w:r>
      <w:hyperlink r:id="rId5" w:anchor="/document/97/98668/bssPhr572/" w:history="1">
        <w:r>
          <w:rPr>
            <w:rStyle w:val="a4"/>
          </w:rPr>
          <w:t>пункте 2.17.1</w:t>
        </w:r>
      </w:hyperlink>
      <w:r>
        <w:t xml:space="preserve"> Инструкции по применению и испытанию средств защиты, используемых в электроустановках, утвержденной приказом Минэнерго России от 30 июня 2003 г. № 261 (далее – Инструкция)</w:t>
      </w:r>
      <w:r>
        <w:t>.</w:t>
      </w:r>
    </w:p>
    <w:p w:rsidR="00000000" w:rsidRDefault="00C006E5">
      <w:pPr>
        <w:pStyle w:val="a3"/>
        <w:divId w:val="1716347272"/>
      </w:pPr>
      <w:r>
        <w:t>Заземления состоят из проводов</w:t>
      </w:r>
      <w:r>
        <w:t>:</w:t>
      </w:r>
    </w:p>
    <w:p w:rsidR="00000000" w:rsidRDefault="00C006E5">
      <w:pPr>
        <w:numPr>
          <w:ilvl w:val="0"/>
          <w:numId w:val="1"/>
        </w:numPr>
        <w:spacing w:after="103"/>
        <w:ind w:left="686"/>
        <w:divId w:val="1716347272"/>
        <w:rPr>
          <w:rFonts w:eastAsia="Times New Roman"/>
        </w:rPr>
      </w:pPr>
      <w:r>
        <w:rPr>
          <w:rFonts w:eastAsia="Times New Roman"/>
        </w:rPr>
        <w:t>с зажимами для закр</w:t>
      </w:r>
      <w:r>
        <w:rPr>
          <w:rFonts w:eastAsia="Times New Roman"/>
        </w:rPr>
        <w:t>епления их на токоведущих частях;</w:t>
      </w:r>
    </w:p>
    <w:p w:rsidR="00000000" w:rsidRDefault="00C006E5">
      <w:pPr>
        <w:numPr>
          <w:ilvl w:val="0"/>
          <w:numId w:val="1"/>
        </w:numPr>
        <w:spacing w:after="103"/>
        <w:ind w:left="686"/>
        <w:divId w:val="1716347272"/>
        <w:rPr>
          <w:rFonts w:eastAsia="Times New Roman"/>
        </w:rPr>
      </w:pPr>
      <w:r>
        <w:rPr>
          <w:rFonts w:eastAsia="Times New Roman"/>
        </w:rPr>
        <w:t>со струбцинами для присоединения к заземляющим проводникам.</w:t>
      </w:r>
    </w:p>
    <w:p w:rsidR="00000000" w:rsidRDefault="00C006E5">
      <w:pPr>
        <w:pStyle w:val="a3"/>
        <w:divId w:val="1716347272"/>
      </w:pPr>
      <w:r>
        <w:t xml:space="preserve">Заземления могут иметь штанговую или бесштанговую конструкцию </w:t>
      </w:r>
      <w:r>
        <w:t>(</w:t>
      </w:r>
      <w:hyperlink r:id="rId6" w:anchor="/document/97/98668/bssPhr574/" w:history="1">
        <w:r>
          <w:rPr>
            <w:rStyle w:val="a4"/>
          </w:rPr>
          <w:t>п. 2.17.2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2"/>
        <w:divId w:val="1716347272"/>
        <w:rPr>
          <w:rFonts w:eastAsia="Times New Roman"/>
        </w:rPr>
      </w:pPr>
      <w:r>
        <w:rPr>
          <w:rFonts w:eastAsia="Times New Roman"/>
        </w:rPr>
        <w:t>Требо</w:t>
      </w:r>
      <w:r>
        <w:rPr>
          <w:rFonts w:eastAsia="Times New Roman"/>
        </w:rPr>
        <w:t>вания к заземлениям</w:t>
      </w:r>
      <w:r>
        <w:rPr>
          <w:rFonts w:eastAsia="Times New Roman"/>
        </w:rPr>
        <w:t xml:space="preserve"> </w:t>
      </w:r>
    </w:p>
    <w:p w:rsidR="00000000" w:rsidRDefault="00C006E5">
      <w:pPr>
        <w:pStyle w:val="a3"/>
        <w:divId w:val="1716347272"/>
      </w:pPr>
      <w:r>
        <w:t>К заземлениям предъявляют следующие требования:</w:t>
      </w:r>
      <w:r>
        <w:t xml:space="preserve"> </w:t>
      </w:r>
    </w:p>
    <w:p w:rsidR="00000000" w:rsidRDefault="00C006E5">
      <w:pPr>
        <w:pStyle w:val="a3"/>
        <w:divId w:val="1716347272"/>
      </w:pPr>
      <w:r>
        <w:t xml:space="preserve">Провода заземлений должны быть гибкими; медными или алюминиевыми, неизолированными или заключенными в прозрачную защитную оболочку </w:t>
      </w:r>
      <w:r>
        <w:t>(</w:t>
      </w:r>
      <w:hyperlink r:id="rId7" w:anchor="/document/97/98668/bssPhr575/" w:history="1">
        <w:r>
          <w:rPr>
            <w:rStyle w:val="a4"/>
          </w:rPr>
          <w:t>п. 2.17.3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 xml:space="preserve">Конструкция зажимов для присоединения заземления к токоведущим частям должна допускать его наложение, закрепление и снятие с помощью специальной штанги </w:t>
      </w:r>
      <w:r>
        <w:t>(</w:t>
      </w:r>
      <w:hyperlink r:id="rId8" w:anchor="/document/97/98668/bssPhr612/" w:history="1">
        <w:r>
          <w:rPr>
            <w:rStyle w:val="a4"/>
          </w:rPr>
          <w:t>п. 2.17.6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Зажим для присоединения к заземляющему проводнику должен быть выполнен в виде струбцины или соответствовать конструкции специального зажима на этом проводнике</w:t>
      </w:r>
      <w:r>
        <w:t>.</w:t>
      </w:r>
    </w:p>
    <w:p w:rsidR="00000000" w:rsidRDefault="00C006E5">
      <w:pPr>
        <w:pStyle w:val="a3"/>
        <w:divId w:val="1716347272"/>
      </w:pPr>
      <w:r>
        <w:t>Разборные и неразборные контактные соединения заземления выполняю</w:t>
      </w:r>
      <w:r>
        <w:t>т методом опрессовки, сварки или болтами в соответствии с требованиями государственного стандарта по стабилизации электрического переходного сопротивления. Контактные соединения нельзя паять. Металлические детали зажимов заземления должны быть из коррозион</w:t>
      </w:r>
      <w:r>
        <w:t xml:space="preserve">ностойкого материала или иметь защитное покрытие в соответствии с государственным стандартом. Защитное металлическое покрытие на контактные поверхности проводников наносят, если это указано в стандартах или технических условиях конкретного изделия </w:t>
      </w:r>
      <w:r>
        <w:t>(</w:t>
      </w:r>
      <w:hyperlink r:id="rId9" w:anchor="/document/97/98668/bssPhr572/" w:history="1">
        <w:r>
          <w:rPr>
            <w:rStyle w:val="a4"/>
          </w:rPr>
          <w:t>п. 2.17.1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 xml:space="preserve">В местах присоединения проводов к зажимам должны быть приняты меры для предотвращения излома жил </w:t>
      </w:r>
      <w:r>
        <w:t>(</w:t>
      </w:r>
      <w:hyperlink r:id="rId10" w:anchor="/document/97/98668/bssPhr615/" w:history="1">
        <w:r>
          <w:rPr>
            <w:rStyle w:val="a4"/>
          </w:rPr>
          <w:t>п. 2.17.8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 xml:space="preserve">На каждом заземлении должны быть обозначены номинальное напряжение электроустановки, сечение проводов и инвентарный номер. Эти данные выбивают на </w:t>
      </w:r>
      <w:r>
        <w:lastRenderedPageBreak/>
        <w:t>одном из зажимов или на бирке, закрепленной на заземлении. Исключения предусмотрены</w:t>
      </w:r>
      <w:r>
        <w:t xml:space="preserve"> </w:t>
      </w:r>
      <w:hyperlink r:id="rId11" w:anchor="/document/97/98668/bssPhr616/" w:history="1">
        <w:r>
          <w:rPr>
            <w:rStyle w:val="a4"/>
          </w:rPr>
          <w:t>пунктом 2.17.9</w:t>
        </w:r>
      </w:hyperlink>
      <w:r>
        <w:t xml:space="preserve"> Инструкции.</w:t>
      </w:r>
      <w:r>
        <w:t xml:space="preserve"> </w:t>
      </w:r>
    </w:p>
    <w:p w:rsidR="00000000" w:rsidRDefault="00C006E5">
      <w:pPr>
        <w:pStyle w:val="2"/>
        <w:divId w:val="1716347272"/>
        <w:rPr>
          <w:rFonts w:eastAsia="Times New Roman"/>
        </w:rPr>
      </w:pPr>
      <w:r>
        <w:rPr>
          <w:rFonts w:eastAsia="Times New Roman"/>
        </w:rPr>
        <w:t>Выбор сечения проводов</w:t>
      </w:r>
      <w:r>
        <w:rPr>
          <w:rFonts w:eastAsia="Times New Roman"/>
        </w:rPr>
        <w:t xml:space="preserve"> </w:t>
      </w:r>
    </w:p>
    <w:p w:rsidR="00000000" w:rsidRDefault="00C006E5">
      <w:pPr>
        <w:pStyle w:val="a3"/>
        <w:divId w:val="1716347272"/>
      </w:pPr>
      <w:r>
        <w:t>Сечения проводов заземлений должны быть термостойкими при протекании токов трехфазного короткого замыкания, а в электрических сетях с гл</w:t>
      </w:r>
      <w:r>
        <w:t xml:space="preserve">ухозаземленной нейтралью – также при протекании токов однофазного короткого замыкания. Провода заземлений должны иметь сечение не менее 16 кв. мм в электроустановках до 1000 В и не менее 25 кв. мм в электроустановках выше 1000 В </w:t>
      </w:r>
      <w:r>
        <w:t>(</w:t>
      </w:r>
      <w:hyperlink r:id="rId12" w:anchor="/document/97/98668/bssPhr576/" w:history="1">
        <w:r>
          <w:rPr>
            <w:rStyle w:val="a4"/>
          </w:rPr>
          <w:t>п. 2.17.4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Провода переносных заземлений для снятия остаточного заряда при проведении испытаний для заземления испытательной аппаратуры и испытуемого оборудования, должны быть медными сечением не мен</w:t>
      </w:r>
      <w:r>
        <w:t>ее 4 кв. мм</w:t>
      </w:r>
      <w:r>
        <w:t>.</w:t>
      </w:r>
    </w:p>
    <w:p w:rsidR="00000000" w:rsidRDefault="00C006E5">
      <w:pPr>
        <w:pStyle w:val="a3"/>
        <w:divId w:val="1716347272"/>
      </w:pPr>
      <w:r>
        <w:t xml:space="preserve">Провода переносных заземлений для заземления изолированного от опор грозозащитного троса воздушных линий, а также передвижных установок (лабораторий, мастерских и т. п.) и грузоподъемных машин – медными сечением не менее 10 кв. мм по условиям </w:t>
      </w:r>
      <w:r>
        <w:t xml:space="preserve">механической прочности </w:t>
      </w:r>
      <w:r>
        <w:t>(</w:t>
      </w:r>
      <w:hyperlink r:id="rId13" w:anchor="/document/97/98668/bssPhr616/" w:history="1">
        <w:r>
          <w:rPr>
            <w:rStyle w:val="a4"/>
          </w:rPr>
          <w:t>п. 2.17.9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Чтобы выбрать сечения проводов заземлений по условию термической стойкости, можно использовать следующую упрощенную формулу</w:t>
      </w:r>
      <w:r>
        <w:t>:</w:t>
      </w:r>
    </w:p>
    <w:p w:rsidR="00000000" w:rsidRDefault="00C006E5">
      <w:pPr>
        <w:pStyle w:val="a3"/>
        <w:divId w:val="1716347272"/>
      </w:pPr>
      <w:r>
        <w:rPr>
          <w:noProof/>
        </w:rPr>
        <w:drawing>
          <wp:inline distT="0" distB="0" distL="0" distR="0">
            <wp:extent cx="308610" cy="308610"/>
            <wp:effectExtent l="19050" t="0" r="0" b="0"/>
            <wp:docPr id="1" name="-480536" descr="https://1otruda.ru/system/content/image/67/1/-4805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80536" descr="https://1otruda.ru/system/content/image/67/1/-480536/"/>
                    <pic:cNvPicPr>
                      <a:picLocks noChangeAspect="1" noChangeArrowheads="1"/>
                    </pic:cNvPicPr>
                  </pic:nvPicPr>
                  <pic:blipFill>
                    <a:blip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006E5">
      <w:pPr>
        <w:pStyle w:val="a3"/>
        <w:divId w:val="1716347272"/>
      </w:pPr>
      <w:r>
        <w:t>где</w:t>
      </w:r>
      <w:r>
        <w:t>:</w:t>
      </w:r>
    </w:p>
    <w:p w:rsidR="00000000" w:rsidRDefault="00C006E5">
      <w:pPr>
        <w:pStyle w:val="a3"/>
        <w:divId w:val="1716347272"/>
      </w:pPr>
      <w:r>
        <w:t>Sмин. – минимально допустимое сечение пров</w:t>
      </w:r>
      <w:r>
        <w:t>ода, кв. мм</w:t>
      </w:r>
      <w:r>
        <w:t>;</w:t>
      </w:r>
    </w:p>
    <w:p w:rsidR="00000000" w:rsidRDefault="00C006E5">
      <w:pPr>
        <w:pStyle w:val="a3"/>
        <w:divId w:val="1716347272"/>
      </w:pPr>
      <w:r>
        <w:t>Iуст. – наибольшее значение установившегося тока короткого замыкания</w:t>
      </w:r>
      <w:r>
        <w:t>;</w:t>
      </w:r>
    </w:p>
    <w:p w:rsidR="00000000" w:rsidRDefault="00C006E5">
      <w:pPr>
        <w:pStyle w:val="a3"/>
        <w:divId w:val="1716347272"/>
      </w:pPr>
      <w:r>
        <w:t>tв – время наибольшей выдержки основной релейной защиты, с</w:t>
      </w:r>
      <w:r>
        <w:t>;</w:t>
      </w:r>
    </w:p>
    <w:p w:rsidR="00000000" w:rsidRDefault="00C006E5">
      <w:pPr>
        <w:pStyle w:val="a3"/>
        <w:divId w:val="1716347272"/>
      </w:pPr>
      <w:r>
        <w:t>C – коэффициент, зависящий от материала проводов (для меди C = 250, а для алюминия C = 152)</w:t>
      </w:r>
      <w:r>
        <w:t>.</w:t>
      </w:r>
    </w:p>
    <w:p w:rsidR="00000000" w:rsidRDefault="00C006E5">
      <w:pPr>
        <w:pStyle w:val="a3"/>
        <w:divId w:val="1716347272"/>
      </w:pPr>
      <w:r>
        <w:t xml:space="preserve">В таблицах показаны </w:t>
      </w:r>
      <w:r>
        <w:t>допустимые по условиям термической стойкости токи короткого замыкания в зависимости от сечения проводов и времени выдержки релейной защиты 0,5; 1,0 и 3,0 с, рассчитанные по приведенной формуле для медных и алюминиевых проводов</w:t>
      </w:r>
      <w:r>
        <w:t>.</w:t>
      </w:r>
    </w:p>
    <w:p w:rsidR="00000000" w:rsidRDefault="00C006E5">
      <w:pPr>
        <w:pStyle w:val="a3"/>
        <w:divId w:val="1716347272"/>
      </w:pPr>
      <w:r>
        <w:rPr>
          <w:b/>
          <w:bCs/>
        </w:rPr>
        <w:t>Максимально допустимые токи короткого замыкания для переносного заземления с медным проводо</w:t>
      </w:r>
      <w:r>
        <w:rPr>
          <w:b/>
          <w:bCs/>
        </w:rPr>
        <w:t>м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495"/>
        <w:gridCol w:w="2398"/>
        <w:gridCol w:w="2398"/>
        <w:gridCol w:w="2398"/>
      </w:tblGrid>
      <w:tr w:rsidR="00000000">
        <w:trPr>
          <w:divId w:val="10422922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Сечение медного провода, мм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Максимально допустимый ток короткого замыкания, кА, при времени выдержки релейной защиты, с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3,0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2,3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3,6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lastRenderedPageBreak/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5,1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7,2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10,1</w:t>
            </w:r>
          </w:p>
        </w:tc>
      </w:tr>
      <w:tr w:rsidR="00000000">
        <w:trPr>
          <w:divId w:val="1042292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13,7</w:t>
            </w:r>
          </w:p>
        </w:tc>
      </w:tr>
    </w:tbl>
    <w:p w:rsidR="00000000" w:rsidRDefault="00C006E5">
      <w:pPr>
        <w:pStyle w:val="a3"/>
        <w:divId w:val="1716347272"/>
      </w:pPr>
      <w:r>
        <w:rPr>
          <w:b/>
          <w:bCs/>
        </w:rPr>
        <w:t>Максимально допустимые токи короткого замыкания для переносного заземления с алюминиевым проводо</w:t>
      </w:r>
      <w:r>
        <w:rPr>
          <w:b/>
          <w:bCs/>
        </w:rPr>
        <w:t>м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061"/>
        <w:gridCol w:w="2333"/>
        <w:gridCol w:w="2333"/>
        <w:gridCol w:w="1962"/>
      </w:tblGrid>
      <w:tr w:rsidR="00000000">
        <w:trPr>
          <w:divId w:val="1946380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Сечение алюминиевого провода, мм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Максимально допустимый ток короткого замыкания, кА, при времени выдержки релейной защиты, с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rPr>
                <w:b/>
                <w:bCs/>
              </w:rPr>
              <w:t>3,0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1,4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2,2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3,1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4,4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6,1</w:t>
            </w:r>
          </w:p>
        </w:tc>
      </w:tr>
      <w:tr w:rsidR="00000000">
        <w:trPr>
          <w:divId w:val="194638020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20,4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14,4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06E5">
            <w:pPr>
              <w:pStyle w:val="a3"/>
              <w:jc w:val="center"/>
            </w:pPr>
            <w:r>
              <w:t>8,3</w:t>
            </w:r>
          </w:p>
        </w:tc>
      </w:tr>
    </w:tbl>
    <w:p w:rsidR="00000000" w:rsidRDefault="00C006E5">
      <w:pPr>
        <w:pStyle w:val="a3"/>
        <w:divId w:val="1716347272"/>
      </w:pPr>
      <w:r>
        <w:t>При больших токах короткого замыкания можно устанавливать несколько заземлений параллельно</w:t>
      </w:r>
      <w:r>
        <w:t>.</w:t>
      </w:r>
    </w:p>
    <w:p w:rsidR="00000000" w:rsidRDefault="00C006E5">
      <w:pPr>
        <w:pStyle w:val="2"/>
        <w:divId w:val="1716347272"/>
        <w:rPr>
          <w:rFonts w:eastAsia="Times New Roman"/>
        </w:rPr>
      </w:pPr>
      <w:r>
        <w:rPr>
          <w:rFonts w:eastAsia="Times New Roman"/>
        </w:rPr>
        <w:t>Эксплуатационные испытани</w:t>
      </w:r>
      <w:r>
        <w:rPr>
          <w:rFonts w:eastAsia="Times New Roman"/>
        </w:rPr>
        <w:t>я</w:t>
      </w:r>
    </w:p>
    <w:p w:rsidR="00000000" w:rsidRDefault="00C006E5">
      <w:pPr>
        <w:pStyle w:val="a3"/>
        <w:divId w:val="1716347272"/>
      </w:pPr>
      <w:r>
        <w:t xml:space="preserve">В процессе эксплуатации механические испытания заземлений не проводят </w:t>
      </w:r>
      <w:r>
        <w:t>(</w:t>
      </w:r>
      <w:hyperlink r:id="rId15" w:anchor="/document/97/98668/bssPhr619/" w:history="1">
        <w:r>
          <w:rPr>
            <w:rStyle w:val="a4"/>
          </w:rPr>
          <w:t>п. 2.17.11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Электрические испытания изолирующих частей штанг переносных заземлений с металлическими звеньями и изолирующих гибких элементов проводят согласно</w:t>
      </w:r>
      <w:r>
        <w:t xml:space="preserve"> </w:t>
      </w:r>
      <w:hyperlink r:id="rId16" w:anchor="/document/97/98668/bssPhr226/" w:history="1">
        <w:r>
          <w:rPr>
            <w:rStyle w:val="a4"/>
          </w:rPr>
          <w:t>пунктам 2.2.14</w:t>
        </w:r>
      </w:hyperlink>
      <w:r>
        <w:t xml:space="preserve"> и</w:t>
      </w:r>
      <w:r>
        <w:t xml:space="preserve"> </w:t>
      </w:r>
      <w:hyperlink r:id="rId17" w:anchor="/document/97/98668/bssPhr228/" w:history="1">
        <w:r>
          <w:rPr>
            <w:rStyle w:val="a4"/>
          </w:rPr>
          <w:t>2.2.15</w:t>
        </w:r>
      </w:hyperlink>
      <w:r>
        <w:t xml:space="preserve"> Инструкции.</w:t>
      </w:r>
      <w:r>
        <w:t xml:space="preserve"> </w:t>
      </w:r>
    </w:p>
    <w:p w:rsidR="00000000" w:rsidRDefault="00C006E5">
      <w:pPr>
        <w:pStyle w:val="a3"/>
        <w:divId w:val="1716347272"/>
      </w:pPr>
      <w:r>
        <w:t xml:space="preserve">При выборе заземлений в эксплуатации следует также проверять их на соответствие требованиям </w:t>
      </w:r>
      <w:r>
        <w:t xml:space="preserve">электродинамической устойчивости при коротких замыканиях по следующей формуле </w:t>
      </w:r>
      <w:r>
        <w:t>(</w:t>
      </w:r>
      <w:hyperlink r:id="rId18" w:anchor="/document/97/98668/bssPhr606/" w:history="1">
        <w:r>
          <w:rPr>
            <w:rStyle w:val="a4"/>
          </w:rPr>
          <w:t>п. 2.17.5</w:t>
        </w:r>
      </w:hyperlink>
      <w:r>
        <w:t xml:space="preserve"> Инструкции)</w:t>
      </w:r>
      <w:r>
        <w:t>:</w:t>
      </w:r>
    </w:p>
    <w:p w:rsidR="00000000" w:rsidRDefault="00C006E5">
      <w:pPr>
        <w:pStyle w:val="a3"/>
        <w:divId w:val="1716347272"/>
      </w:pPr>
      <w:r>
        <w:t>i</w:t>
      </w:r>
      <w:r>
        <w:rPr>
          <w:vertAlign w:val="subscript"/>
        </w:rPr>
        <w:t>дин.мин.</w:t>
      </w:r>
      <w:r>
        <w:t xml:space="preserve"> = 2,55I</w:t>
      </w:r>
      <w:r>
        <w:rPr>
          <w:vertAlign w:val="subscript"/>
        </w:rPr>
        <w:t>уст.</w:t>
      </w:r>
      <w:r>
        <w:t>,</w:t>
      </w:r>
    </w:p>
    <w:p w:rsidR="00000000" w:rsidRDefault="00C006E5">
      <w:pPr>
        <w:pStyle w:val="a3"/>
        <w:divId w:val="1716347272"/>
      </w:pPr>
      <w:r>
        <w:t>где</w:t>
      </w:r>
      <w:r>
        <w:t>:</w:t>
      </w:r>
    </w:p>
    <w:p w:rsidR="00000000" w:rsidRDefault="00C006E5">
      <w:pPr>
        <w:pStyle w:val="a3"/>
        <w:divId w:val="1716347272"/>
      </w:pPr>
      <w:r>
        <w:t>i</w:t>
      </w:r>
      <w:r>
        <w:rPr>
          <w:vertAlign w:val="subscript"/>
        </w:rPr>
        <w:t>дин.мин.</w:t>
      </w:r>
      <w:r>
        <w:t xml:space="preserve"> – минимально необходимый ток динамической уст</w:t>
      </w:r>
      <w:r>
        <w:t>ойчивости для заземления</w:t>
      </w:r>
      <w:r>
        <w:t>;</w:t>
      </w:r>
    </w:p>
    <w:p w:rsidR="00000000" w:rsidRDefault="00C006E5">
      <w:pPr>
        <w:pStyle w:val="a3"/>
        <w:divId w:val="1716347272"/>
      </w:pPr>
      <w:r>
        <w:t>I</w:t>
      </w:r>
      <w:r>
        <w:rPr>
          <w:vertAlign w:val="subscript"/>
        </w:rPr>
        <w:t>уст.</w:t>
      </w:r>
      <w:r>
        <w:t xml:space="preserve"> – наибольшее значение установившегося тока короткого замыкания</w:t>
      </w:r>
      <w:r>
        <w:t>.</w:t>
      </w:r>
    </w:p>
    <w:p w:rsidR="00000000" w:rsidRDefault="00C006E5">
      <w:pPr>
        <w:pStyle w:val="a3"/>
        <w:divId w:val="1716347272"/>
      </w:pPr>
      <w:r>
        <w:t>Значения i</w:t>
      </w:r>
      <w:r>
        <w:rPr>
          <w:vertAlign w:val="subscript"/>
        </w:rPr>
        <w:t>дин.</w:t>
      </w:r>
      <w:r>
        <w:t xml:space="preserve"> должны указываться в паспортах на каждое конкретное заземление</w:t>
      </w:r>
      <w:r>
        <w:t>.</w:t>
      </w:r>
    </w:p>
    <w:p w:rsidR="00000000" w:rsidRDefault="00C006E5">
      <w:pPr>
        <w:pStyle w:val="2"/>
        <w:divId w:val="1716347272"/>
        <w:rPr>
          <w:rFonts w:eastAsia="Times New Roman"/>
        </w:rPr>
      </w:pPr>
      <w:r>
        <w:rPr>
          <w:rFonts w:eastAsia="Times New Roman"/>
        </w:rPr>
        <w:lastRenderedPageBreak/>
        <w:t>Как эксплуатировать</w:t>
      </w:r>
      <w:r>
        <w:rPr>
          <w:rFonts w:eastAsia="Times New Roman"/>
        </w:rPr>
        <w:t xml:space="preserve"> </w:t>
      </w:r>
    </w:p>
    <w:p w:rsidR="00000000" w:rsidRDefault="00C006E5">
      <w:pPr>
        <w:pStyle w:val="a3"/>
        <w:divId w:val="1716347272"/>
      </w:pPr>
      <w:r>
        <w:t xml:space="preserve">Места для присоединения заземлений должны иметь свободный и </w:t>
      </w:r>
      <w:r>
        <w:t xml:space="preserve">безопасный доступ. Переносные заземления для проводов ВЛ можно присоединять к металлоконструкциям опоры, заземляющему спуску деревянной опоры или к специальному временному заземлителю (штырю, забитому в землю) </w:t>
      </w:r>
      <w:r>
        <w:t>(</w:t>
      </w:r>
      <w:hyperlink r:id="rId19" w:anchor="/document/97/98668/bssPhr622/" w:history="1">
        <w:r>
          <w:rPr>
            <w:rStyle w:val="a4"/>
          </w:rPr>
          <w:t>п. 2.17.13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Устанавливают и снимают переносные заземления в диэлектрических перчатках, а в электроустановках выше 1000 В – с использованием изолирующей штанги. З</w:t>
      </w:r>
      <w:r>
        <w:t xml:space="preserve">акрепляют зажимы переносных заземлений этой же штангой или непосредственно руками в диэлектрических перчатках </w:t>
      </w:r>
      <w:r>
        <w:t>(</w:t>
      </w:r>
      <w:hyperlink r:id="rId20" w:anchor="/document/97/98668/bssPhr623/" w:history="1">
        <w:r>
          <w:rPr>
            <w:rStyle w:val="a4"/>
          </w:rPr>
          <w:t>п. 2.17.14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 xml:space="preserve">В оперативной документации электроустановок обязательно проводят учет всех установленных заземлений </w:t>
      </w:r>
      <w:r>
        <w:t>(</w:t>
      </w:r>
      <w:hyperlink r:id="rId21" w:anchor="/document/97/98668/bssPhr624/" w:history="1">
        <w:r>
          <w:rPr>
            <w:rStyle w:val="a4"/>
          </w:rPr>
          <w:t>п. 2.17.15</w:t>
        </w:r>
      </w:hyperlink>
      <w:r>
        <w:t xml:space="preserve"> Инструкции)</w:t>
      </w:r>
      <w:r>
        <w:t>.</w:t>
      </w:r>
    </w:p>
    <w:p w:rsidR="00000000" w:rsidRDefault="00C006E5">
      <w:pPr>
        <w:pStyle w:val="a3"/>
        <w:divId w:val="1716347272"/>
      </w:pPr>
      <w:r>
        <w:t>В процессе эксплуатации заземления осматривают не реже одног</w:t>
      </w:r>
      <w:r>
        <w:t>о раза в три месяца, а также непосредственно перед применением и после воздействия токов короткого замыкания. При обнаружении механических дефектов контактных соединений, обрыве более 5 процентов проводников, их расплавлении заземления изымают из эксплуата</w:t>
      </w:r>
      <w:r>
        <w:t xml:space="preserve">ции </w:t>
      </w:r>
      <w:r>
        <w:t>(</w:t>
      </w:r>
      <w:hyperlink r:id="rId22" w:anchor="/document/97/98668/bssPhr625/" w:history="1">
        <w:r>
          <w:rPr>
            <w:rStyle w:val="a4"/>
          </w:rPr>
          <w:t>п. 2.17.16</w:t>
        </w:r>
      </w:hyperlink>
      <w:r>
        <w:t xml:space="preserve"> Инструкции)</w:t>
      </w:r>
      <w:r>
        <w:t>.</w:t>
      </w:r>
    </w:p>
    <w:p w:rsidR="00C006E5" w:rsidRDefault="00C006E5">
      <w:pPr>
        <w:divId w:val="134027817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C0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7712"/>
    <w:multiLevelType w:val="multilevel"/>
    <w:tmpl w:val="8B2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72388"/>
    <w:rsid w:val="00484061"/>
    <w:rsid w:val="00572388"/>
    <w:rsid w:val="00C0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92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727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4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27817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image" Target="https://1otruda.ru/system/content/image/67/1/-480536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