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5CA4">
      <w:pPr>
        <w:pStyle w:val="printredaction-line"/>
        <w:divId w:val="637030232"/>
      </w:pPr>
      <w:r>
        <w:t>Редакция от 1 янв 2016</w:t>
      </w:r>
    </w:p>
    <w:p w:rsidR="00000000" w:rsidRDefault="00975CA4">
      <w:pPr>
        <w:pStyle w:val="2"/>
        <w:divId w:val="637030232"/>
        <w:rPr>
          <w:rFonts w:eastAsia="Times New Roman"/>
        </w:rPr>
      </w:pPr>
      <w:r>
        <w:rPr>
          <w:rFonts w:eastAsia="Times New Roman"/>
        </w:rPr>
        <w:t>Практические рекомендации по управлению профессиональными рисками на строительных объектах</w:t>
      </w:r>
    </w:p>
    <w:p w:rsidR="00000000" w:rsidRDefault="00975CA4">
      <w:pPr>
        <w:pStyle w:val="a3"/>
        <w:divId w:val="637030232"/>
      </w:pPr>
      <w:r>
        <w:rPr>
          <w:b/>
          <w:bCs/>
        </w:rPr>
        <w:t>Демин А. Б.</w:t>
      </w:r>
    </w:p>
    <w:p w:rsidR="00000000" w:rsidRDefault="00975CA4">
      <w:pPr>
        <w:pStyle w:val="a3"/>
        <w:divId w:val="46688738"/>
      </w:pPr>
      <w:r>
        <w:t>В соответствии с рекомендациями</w:t>
      </w:r>
      <w:r>
        <w:t xml:space="preserve"> </w:t>
      </w:r>
      <w:hyperlink r:id="rId4" w:anchor="/document/113/5073/" w:tooltip="Международная организация труда (МОТ)" w:history="1">
        <w:r>
          <w:rPr>
            <w:rStyle w:val="a4"/>
          </w:rPr>
          <w:t>Международной организации труда</w:t>
        </w:r>
      </w:hyperlink>
      <w:r>
        <w:t xml:space="preserve"> процедура управления</w:t>
      </w:r>
      <w:r>
        <w:t xml:space="preserve"> </w:t>
      </w:r>
      <w:hyperlink r:id="rId5" w:anchor="/document/113/5245/" w:tooltip="Профессиональный риск" w:history="1">
        <w:r>
          <w:rPr>
            <w:rStyle w:val="a4"/>
          </w:rPr>
          <w:t>про</w:t>
        </w:r>
        <w:r>
          <w:rPr>
            <w:rStyle w:val="a4"/>
          </w:rPr>
          <w:t>фессиональными рисками</w:t>
        </w:r>
      </w:hyperlink>
      <w:r>
        <w:t xml:space="preserve"> относится к базовым мероприятиям</w:t>
      </w:r>
      <w:r>
        <w:t xml:space="preserve"> </w:t>
      </w:r>
      <w:hyperlink r:id="rId6" w:anchor="/document/113/5303/" w:tooltip="Система управления охраной труда (СУОТ)" w:history="1">
        <w:r>
          <w:rPr>
            <w:rStyle w:val="a4"/>
          </w:rPr>
          <w:t>Систем управления охраной труда</w:t>
        </w:r>
      </w:hyperlink>
      <w:r>
        <w:t xml:space="preserve"> в организациях. В ближайшее время Минздравсоцразвития Росс</w:t>
      </w:r>
      <w:r>
        <w:t>ии обещает ввести в действие необходимые законодательные, нормативные и методические документы, позволяющие сделать эту процедуру обязательной и основной в системе мероприятий охраны труда.</w:t>
      </w:r>
      <w:r>
        <w:t xml:space="preserve"> </w:t>
      </w:r>
    </w:p>
    <w:p w:rsidR="00000000" w:rsidRDefault="00975CA4">
      <w:pPr>
        <w:pStyle w:val="a3"/>
        <w:divId w:val="46688738"/>
      </w:pPr>
      <w:r>
        <w:t>В тоже время по инициативе ФНПР был введен в действе</w:t>
      </w:r>
      <w:r>
        <w:t xml:space="preserve"> </w:t>
      </w:r>
      <w:hyperlink r:id="rId7" w:anchor="/document/97/87049/" w:history="1">
        <w:r>
          <w:rPr>
            <w:rStyle w:val="a4"/>
          </w:rPr>
          <w:t>ГОСТ Р 12.0.007-2009</w:t>
        </w:r>
      </w:hyperlink>
      <w:r>
        <w:t xml:space="preserve"> «ССБТ. Системы управления охраной труда в организации. Общие требования по разработке, применению, оценке и совершенствованию». Данный ГОСТ совместно с</w:t>
      </w:r>
      <w:r>
        <w:t xml:space="preserve"> </w:t>
      </w:r>
      <w:hyperlink r:id="rId8" w:anchor="/document/97/87043/" w:history="1">
        <w:r>
          <w:rPr>
            <w:rStyle w:val="a4"/>
          </w:rPr>
          <w:t>ГОСТ 12.0.010-2009</w:t>
        </w:r>
      </w:hyperlink>
      <w:r>
        <w:t xml:space="preserve"> «ССБТ. Системы управления охраной труда. Определение опасностей и оценка рисков» в настоящее время являются нормативной основой для создания документов по практическому применению управления профессиона</w:t>
      </w:r>
      <w:r>
        <w:t>льными рисками на строительных объектах.</w:t>
      </w:r>
      <w:r>
        <w:t xml:space="preserve"> </w:t>
      </w:r>
    </w:p>
    <w:p w:rsidR="00000000" w:rsidRDefault="00975CA4">
      <w:pPr>
        <w:pStyle w:val="a3"/>
        <w:divId w:val="46688738"/>
      </w:pPr>
      <w:r>
        <w:t xml:space="preserve">В соответствие с этим ОАО ЦПП был издан МДС 12-53.2010 «Макеты распорядительных и регламентных документов системы управления охраной труда строительной организации», который является руководящим документом системе </w:t>
      </w:r>
      <w:r>
        <w:t>добровольной сертификации в области охраны труда. Среди других макетов регламентных документов в МДС представлен РД СУОТ – 17 «Порядок учета опасных производственных факторов, оценке профессионального риска воздействие их на работников и планировании мер б</w:t>
      </w:r>
      <w:r>
        <w:t>езопасности».</w:t>
      </w:r>
      <w:r>
        <w:t xml:space="preserve"> </w:t>
      </w:r>
    </w:p>
    <w:p w:rsidR="00000000" w:rsidRDefault="00975CA4">
      <w:pPr>
        <w:pStyle w:val="a3"/>
        <w:divId w:val="46688738"/>
      </w:pPr>
      <w:r>
        <w:t>Данный РД был подготовлен с учетом вышеуказанных ГОСТ, а также зарубежного опыта и позволяет начать практическое применение процедуры управления профессиональными рисками на строительных объектах до появления ожидаемых документов Минздравсоц</w:t>
      </w:r>
      <w:r>
        <w:t>развитя России. Ниже приводятся некоторые практические рекомендации по управлению профессиональными рисками на строительных объектах согласно указанному РД.</w:t>
      </w:r>
      <w:r>
        <w:t xml:space="preserve"> </w:t>
      </w:r>
    </w:p>
    <w:p w:rsidR="00000000" w:rsidRDefault="00975CA4">
      <w:pPr>
        <w:pStyle w:val="a3"/>
        <w:divId w:val="46688738"/>
      </w:pPr>
      <w:r>
        <w:t>1. Деятельность по управлению профессиональными рисками может осуществляться в рамках деятельности</w:t>
      </w:r>
      <w:r>
        <w:t xml:space="preserve"> </w:t>
      </w:r>
      <w:hyperlink r:id="rId9" w:anchor="/document/113/5022/" w:tooltip="Комитет (комиссия) по охране труда" w:history="1">
        <w:r>
          <w:rPr>
            <w:rStyle w:val="a4"/>
          </w:rPr>
          <w:t>комитета (комиссии) по охране труда</w:t>
        </w:r>
      </w:hyperlink>
      <w:r>
        <w:t xml:space="preserve"> и</w:t>
      </w:r>
      <w:r>
        <w:t xml:space="preserve"> </w:t>
      </w:r>
      <w:hyperlink r:id="rId10" w:anchor="/document/113/5305/" w:tooltip="Служба охраны труда в организации" w:history="1">
        <w:r>
          <w:rPr>
            <w:rStyle w:val="a4"/>
          </w:rPr>
          <w:t>службы о</w:t>
        </w:r>
        <w:r>
          <w:rPr>
            <w:rStyle w:val="a4"/>
          </w:rPr>
          <w:t>храны труда</w:t>
        </w:r>
      </w:hyperlink>
      <w:r>
        <w:t xml:space="preserve"> . При необходимости к работе привлекаются внешние экспертные организации, имеющие опыт работы по данному вопросу.</w:t>
      </w:r>
      <w:r>
        <w:t xml:space="preserve"> </w:t>
      </w:r>
    </w:p>
    <w:p w:rsidR="00000000" w:rsidRDefault="00975CA4">
      <w:pPr>
        <w:pStyle w:val="a3"/>
        <w:divId w:val="46688738"/>
      </w:pPr>
      <w:r>
        <w:t>Процедура управления рисками включает следующие этапы:</w:t>
      </w:r>
      <w:r>
        <w:t xml:space="preserve"> </w:t>
      </w:r>
    </w:p>
    <w:p w:rsidR="00000000" w:rsidRDefault="00975CA4">
      <w:pPr>
        <w:pStyle w:val="a3"/>
        <w:divId w:val="46688738"/>
      </w:pPr>
      <w:r>
        <w:t>- инвентаризация</w:t>
      </w:r>
      <w:r>
        <w:t xml:space="preserve"> </w:t>
      </w:r>
      <w:hyperlink r:id="rId11" w:anchor="/document/113/5143/" w:tooltip="Опасные производственные факторы" w:history="1">
        <w:r>
          <w:rPr>
            <w:rStyle w:val="a4"/>
          </w:rPr>
          <w:t>опасных производственных факторов</w:t>
        </w:r>
      </w:hyperlink>
      <w:r>
        <w:t xml:space="preserve"> (ОПФ), представляющих угрозы для жизни и здоровья работников и возникающих в процессе производственной деятельности</w:t>
      </w:r>
      <w:r>
        <w:t>;</w:t>
      </w:r>
    </w:p>
    <w:p w:rsidR="00000000" w:rsidRDefault="00975CA4">
      <w:pPr>
        <w:pStyle w:val="a3"/>
        <w:divId w:val="46688738"/>
      </w:pPr>
      <w:r>
        <w:lastRenderedPageBreak/>
        <w:t>- определение профессиональных групп работников, на которы</w:t>
      </w:r>
      <w:r>
        <w:t>х распространяется действие угрозы ОПФ;</w:t>
      </w:r>
      <w:r>
        <w:t xml:space="preserve"> </w:t>
      </w:r>
    </w:p>
    <w:p w:rsidR="00000000" w:rsidRDefault="00975CA4">
      <w:pPr>
        <w:pStyle w:val="a3"/>
        <w:divId w:val="46688738"/>
      </w:pPr>
      <w:r>
        <w:t>-</w:t>
      </w:r>
      <w:r>
        <w:t xml:space="preserve"> </w:t>
      </w:r>
      <w:hyperlink r:id="rId12" w:anchor="/document/113/5173/" w:tooltip="Оценка риска" w:history="1">
        <w:r>
          <w:rPr>
            <w:rStyle w:val="a4"/>
          </w:rPr>
          <w:t>оценка профессионального риска</w:t>
        </w:r>
      </w:hyperlink>
      <w:r>
        <w:t xml:space="preserve"> воздействия ОПФ на работников с учетом применяемых мер безопасности</w:t>
      </w:r>
      <w:r>
        <w:t>;</w:t>
      </w:r>
    </w:p>
    <w:p w:rsidR="00000000" w:rsidRDefault="00975CA4">
      <w:pPr>
        <w:pStyle w:val="a3"/>
        <w:divId w:val="46688738"/>
      </w:pPr>
      <w:r>
        <w:t>- планирование мер безопасност</w:t>
      </w:r>
      <w:r>
        <w:t>и по снижению степени профессионального риска путем применения адекватных степени риска мер безопасности</w:t>
      </w:r>
      <w:r>
        <w:t>.</w:t>
      </w:r>
    </w:p>
    <w:p w:rsidR="00000000" w:rsidRDefault="00975CA4">
      <w:pPr>
        <w:pStyle w:val="a3"/>
        <w:divId w:val="46688738"/>
      </w:pPr>
      <w:r>
        <w:t>2. Инвентаризация ОПФ начинается с проведения анализа действующих отраслевых нормативных актов, содержащих указания о действующих ОПФ, включая:</w:t>
      </w:r>
      <w:r>
        <w:t xml:space="preserve"> </w:t>
      </w:r>
      <w:hyperlink r:id="rId13" w:anchor="/document/99/901794520/XA00LTK2M0/" w:history="1">
        <w:r>
          <w:rPr>
            <w:rStyle w:val="a4"/>
          </w:rPr>
          <w:t>СНиП 12-03-2001</w:t>
        </w:r>
      </w:hyperlink>
      <w:r>
        <w:t xml:space="preserve"> , СНиП 12-04-2002,</w:t>
      </w:r>
      <w:r>
        <w:t xml:space="preserve"> </w:t>
      </w:r>
      <w:hyperlink r:id="rId14" w:anchor="/document/99/901850785/XA00LTK2M0/" w:history="1">
        <w:r>
          <w:rPr>
            <w:rStyle w:val="a4"/>
          </w:rPr>
          <w:t>СП 12-135-2003</w:t>
        </w:r>
      </w:hyperlink>
      <w:r>
        <w:t xml:space="preserve"> , на основе чего составляются Нормативный перечень О</w:t>
      </w:r>
      <w:r>
        <w:t>ПФ для основных профессий работников. В качестве примера приводится подобный перечень в табл. 1</w:t>
      </w:r>
      <w:r>
        <w:t>.</w:t>
      </w:r>
    </w:p>
    <w:p w:rsidR="00000000" w:rsidRDefault="00975CA4">
      <w:pPr>
        <w:pStyle w:val="a3"/>
        <w:divId w:val="46688738"/>
      </w:pPr>
      <w:r>
        <w:t>Таблица 1. Нормативный перечень ОПФ по строительным профессия</w:t>
      </w:r>
      <w:r>
        <w:t>м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651"/>
        <w:gridCol w:w="3676"/>
        <w:gridCol w:w="470"/>
        <w:gridCol w:w="470"/>
        <w:gridCol w:w="470"/>
        <w:gridCol w:w="454"/>
        <w:gridCol w:w="470"/>
        <w:gridCol w:w="470"/>
        <w:gridCol w:w="470"/>
        <w:gridCol w:w="470"/>
        <w:gridCol w:w="470"/>
        <w:gridCol w:w="574"/>
        <w:gridCol w:w="574"/>
      </w:tblGrid>
      <w:tr w:rsidR="00000000">
        <w:trPr>
          <w:divId w:val="35195958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№</w:t>
            </w:r>
          </w:p>
          <w:p w:rsidR="00000000" w:rsidRDefault="00975CA4">
            <w:pPr>
              <w:pStyle w:val="a3"/>
            </w:pPr>
            <w:r>
              <w:t>п.п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 xml:space="preserve">Наименование </w:t>
            </w:r>
          </w:p>
          <w:p w:rsidR="00000000" w:rsidRDefault="00975CA4">
            <w:pPr>
              <w:pStyle w:val="a3"/>
            </w:pPr>
            <w:r>
              <w:t>Профессий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Наименование ОПФ*</w:t>
            </w:r>
          </w:p>
        </w:tc>
      </w:tr>
      <w:tr w:rsidR="00000000">
        <w:trPr>
          <w:divId w:val="3519595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11</w:t>
            </w:r>
          </w:p>
        </w:tc>
      </w:tr>
      <w:tr w:rsidR="00000000">
        <w:trPr>
          <w:divId w:val="35195958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Арматурщики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35195958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 xml:space="preserve">2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Бетонщики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</w:tr>
      <w:tr w:rsidR="00000000">
        <w:trPr>
          <w:divId w:val="35195958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Газосварщики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</w:tr>
      <w:tr w:rsidR="00000000">
        <w:trPr>
          <w:divId w:val="35195958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Изолировщики на гидроизоляции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</w:tr>
      <w:tr w:rsidR="00000000">
        <w:trPr>
          <w:divId w:val="35195958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Каменщики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35195958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Кровельщики по стальным кровлям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35195958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Монтажники стальных и бетонных конструкций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35195958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Плотники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35195958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Маляры строительные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35195958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Слесари сантехники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</w:tbl>
    <w:p w:rsidR="00000000" w:rsidRDefault="00975CA4">
      <w:pPr>
        <w:pStyle w:val="a3"/>
        <w:divId w:val="46688738"/>
      </w:pPr>
      <w:r>
        <w:t>* Наименование</w:t>
      </w:r>
      <w:r>
        <w:t xml:space="preserve"> </w:t>
      </w:r>
      <w:hyperlink r:id="rId15" w:anchor="/document/113/5231/" w:tooltip="Производственные факторы" w:history="1">
        <w:r>
          <w:rPr>
            <w:rStyle w:val="a4"/>
          </w:rPr>
          <w:t>опасных и вредных производственных факторов</w:t>
        </w:r>
      </w:hyperlink>
      <w:r>
        <w:t xml:space="preserve"> (по СНиП 12-04-2002)</w:t>
      </w:r>
      <w:r>
        <w:t>:</w:t>
      </w:r>
    </w:p>
    <w:p w:rsidR="00000000" w:rsidRDefault="00975CA4">
      <w:pPr>
        <w:pStyle w:val="a3"/>
        <w:divId w:val="46688738"/>
      </w:pPr>
      <w:r>
        <w:t>1 – расположение</w:t>
      </w:r>
      <w:r>
        <w:t xml:space="preserve"> </w:t>
      </w:r>
      <w:hyperlink r:id="rId16" w:anchor="/document/113/5267/" w:tooltip="Рабочее место" w:history="1">
        <w:r>
          <w:rPr>
            <w:rStyle w:val="a4"/>
          </w:rPr>
          <w:t>рабочего места</w:t>
        </w:r>
      </w:hyperlink>
      <w:r>
        <w:t xml:space="preserve"> вблизи перепада по высоте 1,3 м и более</w:t>
      </w:r>
      <w:r>
        <w:t>;</w:t>
      </w:r>
    </w:p>
    <w:p w:rsidR="00000000" w:rsidRDefault="00975CA4">
      <w:pPr>
        <w:pStyle w:val="a3"/>
        <w:divId w:val="46688738"/>
      </w:pPr>
      <w:r>
        <w:t>2 – движущиеся машины, их рабочие органы, передвигаемые предметы</w:t>
      </w:r>
      <w:r>
        <w:t>;</w:t>
      </w:r>
    </w:p>
    <w:p w:rsidR="00000000" w:rsidRDefault="00975CA4">
      <w:pPr>
        <w:pStyle w:val="a3"/>
        <w:divId w:val="46688738"/>
      </w:pPr>
      <w:r>
        <w:t>3 – повышенное напряжение в элект</w:t>
      </w:r>
      <w:r>
        <w:t>рической цепи, замыкание которой может произойти через тело человека</w:t>
      </w:r>
      <w:r>
        <w:t>;</w:t>
      </w:r>
    </w:p>
    <w:p w:rsidR="00000000" w:rsidRDefault="00975CA4">
      <w:pPr>
        <w:pStyle w:val="a3"/>
        <w:divId w:val="46688738"/>
      </w:pPr>
      <w:r>
        <w:t>4 – обрушающиеся горные породы</w:t>
      </w:r>
      <w:r>
        <w:t>;</w:t>
      </w:r>
    </w:p>
    <w:p w:rsidR="00000000" w:rsidRDefault="00975CA4">
      <w:pPr>
        <w:pStyle w:val="a3"/>
        <w:divId w:val="46688738"/>
      </w:pPr>
      <w:r>
        <w:lastRenderedPageBreak/>
        <w:t>5 – самопроизвольное обрушение строительных конструкций, подмостей</w:t>
      </w:r>
      <w:r>
        <w:t>;</w:t>
      </w:r>
    </w:p>
    <w:p w:rsidR="00000000" w:rsidRDefault="00975CA4">
      <w:pPr>
        <w:pStyle w:val="a3"/>
        <w:divId w:val="46688738"/>
      </w:pPr>
      <w:r>
        <w:t>6 – падение материалов и конструкций</w:t>
      </w:r>
      <w:r>
        <w:t>;</w:t>
      </w:r>
    </w:p>
    <w:p w:rsidR="00000000" w:rsidRDefault="00975CA4">
      <w:pPr>
        <w:pStyle w:val="a3"/>
        <w:divId w:val="46688738"/>
      </w:pPr>
      <w:r>
        <w:t>7 – опрокидывание машин,</w:t>
      </w:r>
      <w:r>
        <w:t xml:space="preserve"> </w:t>
      </w:r>
      <w:hyperlink r:id="rId17" w:anchor="/document/113/5327/" w:tooltip="Средства подмащивания" w:history="1">
        <w:r>
          <w:rPr>
            <w:rStyle w:val="a4"/>
          </w:rPr>
          <w:t>средств подмащивания</w:t>
        </w:r>
      </w:hyperlink>
      <w:r>
        <w:t xml:space="preserve"> </w:t>
      </w:r>
      <w:r>
        <w:t>;</w:t>
      </w:r>
    </w:p>
    <w:p w:rsidR="00000000" w:rsidRDefault="00975CA4">
      <w:pPr>
        <w:pStyle w:val="a3"/>
        <w:divId w:val="46688738"/>
      </w:pPr>
      <w:r>
        <w:t>8 - острые углы, кромки</w:t>
      </w:r>
      <w:r>
        <w:t>;</w:t>
      </w:r>
    </w:p>
    <w:p w:rsidR="00000000" w:rsidRDefault="00975CA4">
      <w:pPr>
        <w:pStyle w:val="a3"/>
        <w:divId w:val="46688738"/>
      </w:pPr>
      <w:r>
        <w:t>9- повышенное</w:t>
      </w:r>
      <w:r>
        <w:t xml:space="preserve"> </w:t>
      </w:r>
      <w:hyperlink r:id="rId18" w:anchor="/document/113/5217/" w:tooltip="Предельно допустимые концентрации вредных веществ в воздухе рабочей зоны" w:history="1">
        <w:r>
          <w:rPr>
            <w:rStyle w:val="a4"/>
          </w:rPr>
          <w:t>содержание в воздухе</w:t>
        </w:r>
      </w:hyperlink>
      <w:hyperlink r:id="rId19" w:anchor="/document/113/5251/" w:tooltip="Пыль" w:history="1">
        <w:r>
          <w:rPr>
            <w:rStyle w:val="a4"/>
          </w:rPr>
          <w:t>пыли</w:t>
        </w:r>
      </w:hyperlink>
      <w:r>
        <w:t xml:space="preserve"> и</w:t>
      </w:r>
      <w:r>
        <w:t xml:space="preserve"> </w:t>
      </w:r>
      <w:hyperlink r:id="rId20" w:anchor="/document/113/4877/" w:tooltip="Вредное вещество" w:history="1">
        <w:r>
          <w:rPr>
            <w:rStyle w:val="a4"/>
          </w:rPr>
          <w:t>вредных веществ</w:t>
        </w:r>
      </w:hyperlink>
      <w:r>
        <w:t xml:space="preserve"> </w:t>
      </w:r>
      <w:r>
        <w:t>;</w:t>
      </w:r>
    </w:p>
    <w:p w:rsidR="00000000" w:rsidRDefault="00975CA4">
      <w:pPr>
        <w:pStyle w:val="a3"/>
        <w:divId w:val="46688738"/>
      </w:pPr>
      <w:r>
        <w:t>10 –</w:t>
      </w:r>
      <w:r>
        <w:t xml:space="preserve"> </w:t>
      </w:r>
      <w:hyperlink r:id="rId21" w:anchor="/document/113/5424/" w:tooltip="Шум" w:history="1">
        <w:r>
          <w:rPr>
            <w:rStyle w:val="a4"/>
          </w:rPr>
          <w:t xml:space="preserve">шум </w:t>
        </w:r>
      </w:hyperlink>
      <w:r>
        <w:t>и</w:t>
      </w:r>
      <w:r>
        <w:t xml:space="preserve"> </w:t>
      </w:r>
      <w:hyperlink r:id="rId22" w:anchor="/document/113/4868/" w:tooltip="Вибрация" w:history="1">
        <w:r>
          <w:rPr>
            <w:rStyle w:val="a4"/>
          </w:rPr>
          <w:t>вибрация</w:t>
        </w:r>
      </w:hyperlink>
      <w:r>
        <w:t xml:space="preserve"> </w:t>
      </w:r>
      <w:r>
        <w:t>;</w:t>
      </w:r>
    </w:p>
    <w:p w:rsidR="00000000" w:rsidRDefault="00975CA4">
      <w:pPr>
        <w:pStyle w:val="a3"/>
        <w:divId w:val="46688738"/>
      </w:pPr>
      <w:r>
        <w:t>11- повышенная или повышенная температура оборудования, материалов.</w:t>
      </w:r>
      <w:r>
        <w:t xml:space="preserve"> </w:t>
      </w:r>
    </w:p>
    <w:p w:rsidR="00000000" w:rsidRDefault="00975CA4">
      <w:pPr>
        <w:pStyle w:val="a3"/>
        <w:divId w:val="46688738"/>
      </w:pPr>
      <w:r>
        <w:t>Для проверки соответствия Нормативного пере</w:t>
      </w:r>
      <w:r>
        <w:t>чня условиям организации составляется лист контрольных вопросов (табл. 2), которые заполняются службой охраны труда в подразделениях организации. При этом ставится задача выявление новых типов ОП</w:t>
      </w:r>
      <w:r>
        <w:t>Ф</w:t>
      </w:r>
    </w:p>
    <w:p w:rsidR="00000000" w:rsidRDefault="00975CA4">
      <w:pPr>
        <w:pStyle w:val="a3"/>
        <w:divId w:val="46688738"/>
      </w:pPr>
      <w:r>
        <w:t>Таблица 2. Лист контрольных вопросо</w:t>
      </w:r>
      <w:r>
        <w:t>в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651"/>
        <w:gridCol w:w="2802"/>
        <w:gridCol w:w="4601"/>
        <w:gridCol w:w="747"/>
        <w:gridCol w:w="888"/>
      </w:tblGrid>
      <w:tr w:rsidR="00000000">
        <w:trPr>
          <w:divId w:val="189774101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№</w:t>
            </w:r>
          </w:p>
          <w:p w:rsidR="00000000" w:rsidRDefault="00975CA4">
            <w:pPr>
              <w:pStyle w:val="a3"/>
            </w:pPr>
            <w:r>
              <w:t>п.п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 xml:space="preserve">Наименование </w:t>
            </w:r>
          </w:p>
          <w:p w:rsidR="00000000" w:rsidRDefault="00975CA4">
            <w:pPr>
              <w:pStyle w:val="a3"/>
            </w:pPr>
            <w:r>
              <w:t>профессии, численность работников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Наименование ОПФ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Существуют</w:t>
            </w:r>
          </w:p>
        </w:tc>
      </w:tr>
      <w:tr w:rsidR="00000000">
        <w:trPr>
          <w:divId w:val="18977410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Нет</w:t>
            </w:r>
          </w:p>
        </w:tc>
      </w:tr>
      <w:tr w:rsidR="00000000">
        <w:trPr>
          <w:divId w:val="189774101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 xml:space="preserve">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Арматурщики – 5 чел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Расположение рабочего места вблизи перепада по высоте 1,3 м и более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189774101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Движущиеся машины, их рабочие органы, передвигаемые предметы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189774101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Самопроизвольное обрушение строительных конструкций, подмостей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189774101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Бетонщики – 20 чел.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Расположение рабочего места вблизи перепада по высоте 1,3 м и более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189774101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Движущиеся машины, их рабочие органы, передвигаемые предметы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189774101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Самопроизвольное обрушение строительных конструкций, подмостей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189774101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Вибрация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189774101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Газосварщики – 2 чел.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</w:tbl>
    <w:p w:rsidR="00000000" w:rsidRDefault="00975CA4">
      <w:pPr>
        <w:pStyle w:val="a3"/>
        <w:divId w:val="46688738"/>
      </w:pPr>
      <w:r>
        <w:t>По каждому ОПФ определяется количество работников подвергающихся опасности. В целях характеристики основных ОПФ составляется Специальные листы для опроса. В качестве примера Специальный лист для опроса по опасности падения с высоты. (табл. 3)</w:t>
      </w:r>
      <w:r>
        <w:t xml:space="preserve"> </w:t>
      </w:r>
    </w:p>
    <w:p w:rsidR="00000000" w:rsidRDefault="00975CA4">
      <w:pPr>
        <w:pStyle w:val="a3"/>
        <w:divId w:val="46688738"/>
      </w:pPr>
      <w:r>
        <w:t>Таблица 3. С</w:t>
      </w:r>
      <w:r>
        <w:t>пециальный лист для опроса по опасности падения с высот</w:t>
      </w:r>
      <w:r>
        <w:t>ы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711"/>
        <w:gridCol w:w="7654"/>
        <w:gridCol w:w="605"/>
        <w:gridCol w:w="719"/>
      </w:tblGrid>
      <w:tr w:rsidR="00000000">
        <w:trPr>
          <w:divId w:val="787956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  <w:jc w:val="center"/>
            </w:pPr>
            <w:r>
              <w:lastRenderedPageBreak/>
              <w:t>№</w:t>
            </w:r>
          </w:p>
          <w:p w:rsidR="00000000" w:rsidRDefault="00975CA4">
            <w:pPr>
              <w:pStyle w:val="a3"/>
            </w:pPr>
            <w:r>
              <w:t>п.п.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Вопрос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Нет</w:t>
            </w:r>
          </w:p>
        </w:tc>
      </w:tr>
      <w:tr w:rsidR="00000000">
        <w:trPr>
          <w:divId w:val="7879563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Имеются ли ограждения на лестничных маршах в местах массового прохода работников на рабочие места в строящихся зданиях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7879563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Имеется ли достаточно освещения в местах прохода людей в вечернее время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7879563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Имеются ли ограждения лифтовых шахт и балконов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7879563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Имеются ли не огражденные проемы в перекрытиях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7879563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Применяются ли инвентарные средства подмащивания при выполнении работ на высоте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7879563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Применяется ли предохранительный пояс при выполнении работ вблизи не огражденного перепада по высоте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7879563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Применяются ли специальные средства для крепления предохранительного пояса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</w:tbl>
    <w:p w:rsidR="00000000" w:rsidRDefault="00975CA4">
      <w:pPr>
        <w:pStyle w:val="a3"/>
        <w:divId w:val="46688738"/>
      </w:pPr>
      <w:r>
        <w:t>3. Оценка профессиональных рисков, связанных с угрозами воздействия ОПФ состоит в определении следующих параметров риска:</w:t>
      </w:r>
      <w:r>
        <w:t xml:space="preserve"> </w:t>
      </w:r>
    </w:p>
    <w:p w:rsidR="00000000" w:rsidRDefault="00975CA4">
      <w:pPr>
        <w:pStyle w:val="a3"/>
        <w:divId w:val="46688738"/>
      </w:pPr>
      <w:r>
        <w:t>– вероятность воздействия ОПФ на работника</w:t>
      </w:r>
      <w:r>
        <w:t>;</w:t>
      </w:r>
    </w:p>
    <w:p w:rsidR="00000000" w:rsidRDefault="00975CA4">
      <w:pPr>
        <w:pStyle w:val="a3"/>
        <w:divId w:val="46688738"/>
      </w:pPr>
      <w:r>
        <w:t>– степень тяжести потенциального ущерба</w:t>
      </w:r>
      <w:r>
        <w:t>.</w:t>
      </w:r>
    </w:p>
    <w:p w:rsidR="00000000" w:rsidRDefault="00975CA4">
      <w:pPr>
        <w:pStyle w:val="a3"/>
        <w:divId w:val="46688738"/>
      </w:pPr>
      <w:r>
        <w:t>Параметры риска могут определяться качественными и количественными характеристиками</w:t>
      </w:r>
      <w:r>
        <w:t>.</w:t>
      </w:r>
    </w:p>
    <w:p w:rsidR="00000000" w:rsidRDefault="00975CA4">
      <w:pPr>
        <w:pStyle w:val="a3"/>
        <w:divId w:val="46688738"/>
      </w:pPr>
      <w:r>
        <w:t>С учетом качественной оценки различают следующие три уровня вероятности</w:t>
      </w:r>
      <w:r>
        <w:t>:</w:t>
      </w:r>
    </w:p>
    <w:p w:rsidR="00000000" w:rsidRDefault="00975CA4">
      <w:pPr>
        <w:pStyle w:val="a3"/>
        <w:divId w:val="46688738"/>
      </w:pPr>
      <w:r>
        <w:t>– низкая – маловероятно, что угроза может возникнуть в те</w:t>
      </w:r>
      <w:r>
        <w:t>чение всей профессиональной деятельности работника</w:t>
      </w:r>
      <w:r>
        <w:t>;</w:t>
      </w:r>
    </w:p>
    <w:p w:rsidR="00000000" w:rsidRDefault="00975CA4">
      <w:pPr>
        <w:pStyle w:val="a3"/>
        <w:divId w:val="46688738"/>
      </w:pPr>
      <w:r>
        <w:t>– средняя – угрозы могут возникнуть несколько раз в течение профессиональной деятельности</w:t>
      </w:r>
      <w:r>
        <w:t>;</w:t>
      </w:r>
    </w:p>
    <w:p w:rsidR="00000000" w:rsidRDefault="00975CA4">
      <w:pPr>
        <w:pStyle w:val="a3"/>
        <w:divId w:val="46688738"/>
      </w:pPr>
      <w:r>
        <w:t>– высокая –угрозы могут периодически появляться в ходе профессиональной деятельности</w:t>
      </w:r>
      <w:r>
        <w:t>.</w:t>
      </w:r>
    </w:p>
    <w:p w:rsidR="00000000" w:rsidRDefault="00975CA4">
      <w:pPr>
        <w:pStyle w:val="a3"/>
        <w:divId w:val="46688738"/>
      </w:pPr>
      <w:r>
        <w:t>Таким же образом определяют</w:t>
      </w:r>
      <w:r>
        <w:t>ся следующие три уровня тяжести:</w:t>
      </w:r>
      <w:r>
        <w:t xml:space="preserve"> </w:t>
      </w:r>
    </w:p>
    <w:p w:rsidR="00000000" w:rsidRDefault="00975CA4">
      <w:pPr>
        <w:pStyle w:val="a3"/>
        <w:divId w:val="46688738"/>
      </w:pPr>
      <w:r>
        <w:t>– умеренная – травмы и заболевания не ведут к затяжному расстройству (недомоганию)</w:t>
      </w:r>
      <w:r>
        <w:t>;</w:t>
      </w:r>
    </w:p>
    <w:p w:rsidR="00000000" w:rsidRDefault="00975CA4">
      <w:pPr>
        <w:pStyle w:val="a3"/>
        <w:divId w:val="46688738"/>
      </w:pPr>
      <w:r>
        <w:t>– достаточно тяжелые – травмы и заболевания могут привести к затяжному или периодическому заболеванию</w:t>
      </w:r>
      <w:r>
        <w:t>;</w:t>
      </w:r>
    </w:p>
    <w:p w:rsidR="00000000" w:rsidRDefault="00975CA4">
      <w:pPr>
        <w:pStyle w:val="a3"/>
        <w:divId w:val="46688738"/>
      </w:pPr>
      <w:r>
        <w:t>– крайне тяжелые – инвалидный или л</w:t>
      </w:r>
      <w:r>
        <w:t>етальный исход</w:t>
      </w:r>
      <w:r>
        <w:t>.</w:t>
      </w:r>
    </w:p>
    <w:p w:rsidR="00000000" w:rsidRDefault="00975CA4">
      <w:pPr>
        <w:pStyle w:val="a3"/>
        <w:divId w:val="46688738"/>
      </w:pPr>
      <w:r>
        <w:lastRenderedPageBreak/>
        <w:t>Оценка профессиональных рисков осуществляется на основе совместного учета обеих его параметров (табл. 4)</w:t>
      </w:r>
      <w:r>
        <w:t>.</w:t>
      </w:r>
    </w:p>
    <w:p w:rsidR="00000000" w:rsidRDefault="00975CA4">
      <w:pPr>
        <w:pStyle w:val="a3"/>
        <w:divId w:val="46688738"/>
      </w:pPr>
      <w:r>
        <w:t>Таблица 4. Оценка степени риск</w:t>
      </w:r>
      <w:r>
        <w:t>а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811"/>
        <w:gridCol w:w="2257"/>
        <w:gridCol w:w="2924"/>
        <w:gridCol w:w="2697"/>
      </w:tblGrid>
      <w:tr w:rsidR="00000000">
        <w:trPr>
          <w:divId w:val="61834006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Степень</w:t>
            </w:r>
          </w:p>
          <w:p w:rsidR="00000000" w:rsidRDefault="00975CA4">
            <w:pPr>
              <w:pStyle w:val="a3"/>
            </w:pPr>
            <w:r>
              <w:t>вероятности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Степень тяжести</w:t>
            </w:r>
          </w:p>
        </w:tc>
      </w:tr>
      <w:tr w:rsidR="00000000">
        <w:trPr>
          <w:divId w:val="6183400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Умеренная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Достаточно серьезная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Крайне тяжелая</w:t>
            </w:r>
          </w:p>
        </w:tc>
      </w:tr>
      <w:tr w:rsidR="00000000">
        <w:trPr>
          <w:divId w:val="618340069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Низкая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Очень легкий -1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Небольшой – 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Средний – 3</w:t>
            </w:r>
          </w:p>
        </w:tc>
      </w:tr>
      <w:tr w:rsidR="00000000">
        <w:trPr>
          <w:divId w:val="618340069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Средняя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Небольшой – 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Средний – 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Высокий – 4</w:t>
            </w:r>
          </w:p>
        </w:tc>
      </w:tr>
      <w:tr w:rsidR="00000000">
        <w:trPr>
          <w:divId w:val="618340069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Высокая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Средний – 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Высокий –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Крайне высокий – 5</w:t>
            </w:r>
          </w:p>
        </w:tc>
      </w:tr>
    </w:tbl>
    <w:p w:rsidR="00000000" w:rsidRDefault="00975CA4">
      <w:pPr>
        <w:pStyle w:val="a3"/>
        <w:divId w:val="46688738"/>
      </w:pPr>
      <w:r>
        <w:t>Для того, чтобы подкрепить качественную градацию степени профессионального риска количественными оценками следует применять бальную оценку параметров профессионального риска на основе имеющего зарубежного опыта, с учетом вероятного характера воздействия ОП</w:t>
      </w:r>
      <w:r>
        <w:t>Ф, а также ожидаемой тяжести последствий.</w:t>
      </w:r>
      <w:r>
        <w:t xml:space="preserve"> </w:t>
      </w:r>
    </w:p>
    <w:p w:rsidR="00000000" w:rsidRDefault="00975CA4">
      <w:pPr>
        <w:pStyle w:val="a3"/>
        <w:divId w:val="46688738"/>
      </w:pPr>
      <w:r>
        <w:t>Вероятность воздействия ОПФ на работника зависит от вероятности возникновения ОПФ, вероятности воздействия его на работника, находящегося в зоне действия этого ОПФ и численности работников</w:t>
      </w:r>
      <w:r>
        <w:t>.</w:t>
      </w:r>
    </w:p>
    <w:p w:rsidR="00000000" w:rsidRDefault="00975CA4">
      <w:pPr>
        <w:pStyle w:val="a3"/>
        <w:divId w:val="46688738"/>
      </w:pPr>
      <w:r>
        <w:t>Первая характеризует ча</w:t>
      </w:r>
      <w:r>
        <w:t>стоту возникновения угрозы, которая может иметь шкалу оценки от 10 до 0, в том числе: постоянная - 10; регулярная (ежедневная) - 6; время от времени (еженедельно) - 3; иногда (ежемесячно) - 2; редко (ежегодно) - 1; очень редко – 0,5; никогда - 0</w:t>
      </w:r>
      <w:r>
        <w:t>.</w:t>
      </w:r>
    </w:p>
    <w:p w:rsidR="00000000" w:rsidRDefault="00975CA4">
      <w:pPr>
        <w:pStyle w:val="a3"/>
        <w:divId w:val="46688738"/>
      </w:pPr>
      <w:r>
        <w:t>Вторая ха</w:t>
      </w:r>
      <w:r>
        <w:t>рактеризует вероятность воздействия опасного фактора на работника в условиях действия ОПФ или другими словами подверженность работника воздействию угрозы.</w:t>
      </w:r>
      <w:r>
        <w:t xml:space="preserve"> </w:t>
      </w:r>
    </w:p>
    <w:p w:rsidR="00000000" w:rsidRDefault="00975CA4">
      <w:pPr>
        <w:pStyle w:val="a3"/>
        <w:divId w:val="46688738"/>
      </w:pPr>
      <w:r>
        <w:t>Данная составляющая также может также иметь шкалу оценки от 10 до 0, в том числе: ожидаемо (это случ</w:t>
      </w:r>
      <w:r>
        <w:t>ится) – 10; очень вероятно – 6; маловероятно, но возможно - 3; невероятно - 1; можно предположить, но невероятно - 0,5; почти невозможно - 0,2; почти невообразимо - 0,1; абсолютно невозможно - 0</w:t>
      </w:r>
      <w:r>
        <w:t>.</w:t>
      </w:r>
    </w:p>
    <w:p w:rsidR="00000000" w:rsidRDefault="00975CA4">
      <w:pPr>
        <w:pStyle w:val="a3"/>
        <w:divId w:val="46688738"/>
      </w:pPr>
      <w:r>
        <w:t xml:space="preserve">Тяжесть последствий при несчастном случае может иметь шкалу </w:t>
      </w:r>
      <w:r>
        <w:t>оценки от 100 до 1, в том числе: катастрофа, много жертв - 100; авария, несколько жертв – 40; очень тяжелые, 1 человек погиб - 15; тяжелые, инвалидность - 7; серьезная травма и невыход на работу - 3; минимальные. Оказание первой помощи – 1</w:t>
      </w:r>
      <w:r>
        <w:t>.</w:t>
      </w:r>
    </w:p>
    <w:p w:rsidR="00000000" w:rsidRDefault="00975CA4">
      <w:pPr>
        <w:pStyle w:val="a3"/>
        <w:divId w:val="46688738"/>
      </w:pPr>
      <w:r>
        <w:t>Произведение тр</w:t>
      </w:r>
      <w:r>
        <w:t>ех составляющих позволяет определить индекс профессионального риска. При этом срочность проведения мероприятий по профилактике профессионального риска определяется согласно табл. 5 в зависимости от категории и индекса профессионального риска</w:t>
      </w:r>
      <w:r>
        <w:t>.</w:t>
      </w:r>
    </w:p>
    <w:p w:rsidR="00000000" w:rsidRDefault="00975CA4">
      <w:pPr>
        <w:pStyle w:val="a3"/>
        <w:divId w:val="46688738"/>
      </w:pPr>
      <w:r>
        <w:t>Таблица 5. Оп</w:t>
      </w:r>
      <w:r>
        <w:t>ределение срочности мероприятий по профилактике профессионального риск</w:t>
      </w:r>
      <w:r>
        <w:t>а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2856"/>
        <w:gridCol w:w="2771"/>
        <w:gridCol w:w="4062"/>
      </w:tblGrid>
      <w:tr w:rsidR="00000000">
        <w:trPr>
          <w:divId w:val="928149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 xml:space="preserve">Категория профессионального </w:t>
            </w:r>
            <w:r>
              <w:lastRenderedPageBreak/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lastRenderedPageBreak/>
              <w:t xml:space="preserve">Индекс профессионального </w:t>
            </w:r>
            <w:r>
              <w:lastRenderedPageBreak/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lastRenderedPageBreak/>
              <w:t xml:space="preserve">Срочность мероприятий по профилактике профессионального </w:t>
            </w:r>
            <w:r>
              <w:lastRenderedPageBreak/>
              <w:t>риска</w:t>
            </w:r>
          </w:p>
        </w:tc>
      </w:tr>
      <w:tr w:rsidR="00000000">
        <w:trPr>
          <w:divId w:val="92814969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lastRenderedPageBreak/>
              <w:t>Малый - 1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0 - 20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Меры не требуются, но уязвимые лица нуждаются в дополнительной защите*</w:t>
            </w:r>
          </w:p>
        </w:tc>
      </w:tr>
      <w:tr w:rsidR="00000000">
        <w:trPr>
          <w:divId w:val="92814969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Умеренный - 2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20 - 70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Требуются меры по снижению степени риска</w:t>
            </w:r>
          </w:p>
        </w:tc>
      </w:tr>
      <w:tr w:rsidR="00000000">
        <w:trPr>
          <w:divId w:val="92814969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Существенный - 3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70 - 200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Требуются меры по снижению степени риска в установленные сроки</w:t>
            </w:r>
          </w:p>
        </w:tc>
      </w:tr>
      <w:tr w:rsidR="00000000">
        <w:trPr>
          <w:divId w:val="92814969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Высокий - 4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200 - 4000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Требуются неотложные меры по снижению степени риска</w:t>
            </w:r>
          </w:p>
        </w:tc>
      </w:tr>
      <w:tr w:rsidR="00000000">
        <w:trPr>
          <w:divId w:val="92814969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Крайне высокий - 5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&gt; 400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Требуется прекращение деятельности</w:t>
            </w:r>
          </w:p>
        </w:tc>
      </w:tr>
    </w:tbl>
    <w:p w:rsidR="00000000" w:rsidRDefault="00975CA4">
      <w:pPr>
        <w:pStyle w:val="a3"/>
        <w:divId w:val="46688738"/>
      </w:pPr>
      <w:r>
        <w:t>* К уязвимым лицам относят: несовершеннолетних, беременных женщин, кормящих матерей и инвалидов</w:t>
      </w:r>
      <w:r>
        <w:t>.</w:t>
      </w:r>
    </w:p>
    <w:p w:rsidR="00000000" w:rsidRDefault="00975CA4">
      <w:pPr>
        <w:pStyle w:val="a3"/>
        <w:divId w:val="46688738"/>
      </w:pPr>
      <w:r>
        <w:t>4. В результате оценки профе</w:t>
      </w:r>
      <w:r>
        <w:t>ссионального риска выявляются узкие места, где степень риска максимальна. Для этих мест разрабатываются перспективные и оперативные планы снижения степени риска</w:t>
      </w:r>
      <w:r>
        <w:t>.</w:t>
      </w:r>
    </w:p>
    <w:p w:rsidR="00000000" w:rsidRDefault="00975CA4">
      <w:pPr>
        <w:pStyle w:val="a3"/>
        <w:divId w:val="46688738"/>
      </w:pPr>
      <w:r>
        <w:t>Принимаемые меры профилактики в порядке их предпочтения:</w:t>
      </w:r>
      <w:r>
        <w:t xml:space="preserve"> </w:t>
      </w:r>
    </w:p>
    <w:p w:rsidR="00000000" w:rsidRDefault="00975CA4">
      <w:pPr>
        <w:pStyle w:val="a3"/>
        <w:divId w:val="46688738"/>
      </w:pPr>
      <w:r>
        <w:t>– технические меры для борьбы с риск</w:t>
      </w:r>
      <w:r>
        <w:t>ом в их источнике (для потенциально опасных ОПФ)</w:t>
      </w:r>
      <w:r>
        <w:t>;</w:t>
      </w:r>
    </w:p>
    <w:p w:rsidR="00000000" w:rsidRDefault="00975CA4">
      <w:pPr>
        <w:pStyle w:val="a3"/>
        <w:divId w:val="46688738"/>
      </w:pPr>
      <w:r>
        <w:t>– применение</w:t>
      </w:r>
      <w:r>
        <w:t xml:space="preserve"> </w:t>
      </w:r>
      <w:hyperlink r:id="rId23" w:anchor="/document/113/5326/" w:tooltip="Средства коллективной защиты " w:history="1">
        <w:r>
          <w:rPr>
            <w:rStyle w:val="a4"/>
          </w:rPr>
          <w:t>средств коллективной защиты</w:t>
        </w:r>
      </w:hyperlink>
      <w:r>
        <w:t xml:space="preserve"> (для постоянно действующих ОПФ)</w:t>
      </w:r>
      <w:r>
        <w:t>;</w:t>
      </w:r>
    </w:p>
    <w:p w:rsidR="00000000" w:rsidRDefault="00975CA4">
      <w:pPr>
        <w:pStyle w:val="a3"/>
        <w:divId w:val="46688738"/>
      </w:pPr>
      <w:r>
        <w:t>– организационные меры по допуск</w:t>
      </w:r>
      <w:r>
        <w:t>у работников к работам в условиях ОПФ</w:t>
      </w:r>
      <w:r>
        <w:t>;</w:t>
      </w:r>
    </w:p>
    <w:p w:rsidR="00000000" w:rsidRDefault="00975CA4">
      <w:pPr>
        <w:pStyle w:val="a3"/>
        <w:divId w:val="46688738"/>
      </w:pPr>
      <w:r>
        <w:t>– применение</w:t>
      </w:r>
      <w:r>
        <w:t xml:space="preserve"> </w:t>
      </w:r>
      <w:hyperlink r:id="rId24" w:anchor="/document/113/5325/" w:tooltip="Средства индивидуальной защиты " w:history="1">
        <w:r>
          <w:rPr>
            <w:rStyle w:val="a4"/>
          </w:rPr>
          <w:t>СИЗ</w:t>
        </w:r>
      </w:hyperlink>
      <w:r>
        <w:t xml:space="preserve"> </w:t>
      </w:r>
      <w:r>
        <w:t>.</w:t>
      </w:r>
    </w:p>
    <w:p w:rsidR="00000000" w:rsidRDefault="00975CA4">
      <w:pPr>
        <w:pStyle w:val="a3"/>
        <w:divId w:val="46688738"/>
      </w:pPr>
      <w:r>
        <w:t>По итогам работы составляется сводная таблица анализа профессиональных рисков и мер безопасности</w:t>
      </w:r>
      <w:r>
        <w:t xml:space="preserve"> (табл. 6)</w:t>
      </w:r>
      <w:r>
        <w:t>.</w:t>
      </w:r>
    </w:p>
    <w:p w:rsidR="00000000" w:rsidRDefault="00975CA4">
      <w:pPr>
        <w:pStyle w:val="a3"/>
        <w:divId w:val="46688738"/>
      </w:pPr>
      <w:r>
        <w:t xml:space="preserve">Таблица </w:t>
      </w:r>
      <w:r>
        <w:t>6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639"/>
        <w:gridCol w:w="1542"/>
        <w:gridCol w:w="1463"/>
        <w:gridCol w:w="1977"/>
        <w:gridCol w:w="1709"/>
        <w:gridCol w:w="1608"/>
        <w:gridCol w:w="751"/>
      </w:tblGrid>
      <w:tr w:rsidR="00000000">
        <w:trPr>
          <w:divId w:val="17069059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№</w:t>
            </w:r>
          </w:p>
          <w:p w:rsidR="00000000" w:rsidRDefault="00975CA4">
            <w:pPr>
              <w:pStyle w:val="a3"/>
            </w:pPr>
            <w:r>
              <w:t>п.п.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Наименование ОПФ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Кто может пострадать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Какие меры приняты сейчас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Каковы планируемые меры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Срок</w:t>
            </w:r>
          </w:p>
        </w:tc>
      </w:tr>
      <w:tr w:rsidR="00000000">
        <w:trPr>
          <w:divId w:val="1706905988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Падение человека с высоты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Монтажники, каменщики,</w:t>
            </w:r>
          </w:p>
          <w:p w:rsidR="00000000" w:rsidRDefault="00975CA4">
            <w:pPr>
              <w:pStyle w:val="a3"/>
            </w:pPr>
            <w:r>
              <w:t>разнорабо</w:t>
            </w:r>
            <w:r>
              <w:lastRenderedPageBreak/>
              <w:t>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lastRenderedPageBreak/>
              <w:t>Временные ограждения. предохранительные пояса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 xml:space="preserve">Применение улавливающих сеток </w:t>
            </w:r>
          </w:p>
          <w:p w:rsidR="00000000" w:rsidRDefault="00975CA4">
            <w:pPr>
              <w:pStyle w:val="a3"/>
            </w:pPr>
            <w:r>
              <w:t xml:space="preserve">Первоочередной монтаж </w:t>
            </w:r>
            <w:r>
              <w:lastRenderedPageBreak/>
              <w:t xml:space="preserve">постоянных ограждений,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lastRenderedPageBreak/>
              <w:t>Главный инженер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  <w:tr w:rsidR="00000000">
        <w:trPr>
          <w:divId w:val="1706905988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Обрушение стенок котлована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Бетонщики, арматурщики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Устройство откосов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Применение крепления стенок котлована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pStyle w:val="a3"/>
            </w:pPr>
            <w:r>
              <w:t>Главный инженер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5CA4">
            <w:pPr>
              <w:rPr>
                <w:rFonts w:eastAsia="Times New Roman"/>
              </w:rPr>
            </w:pPr>
          </w:p>
        </w:tc>
      </w:tr>
    </w:tbl>
    <w:p w:rsidR="00975CA4" w:rsidRDefault="00975CA4">
      <w:pPr>
        <w:divId w:val="27394842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975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242478"/>
    <w:rsid w:val="00242478"/>
    <w:rsid w:val="0097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48426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23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738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13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9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4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hyperlink" Target="https://vip.1otruda.ru/" TargetMode="External"/><Relationship Id="rId18" Type="http://schemas.openxmlformats.org/officeDocument/2006/relationships/hyperlink" Target="https://vip.1otruda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vip.1otruda.ru/" TargetMode="External"/><Relationship Id="rId7" Type="http://schemas.openxmlformats.org/officeDocument/2006/relationships/hyperlink" Target="https://vip.1otruda.ru/" TargetMode="External"/><Relationship Id="rId12" Type="http://schemas.openxmlformats.org/officeDocument/2006/relationships/hyperlink" Target="https://vip.1otruda.ru/" TargetMode="External"/><Relationship Id="rId17" Type="http://schemas.openxmlformats.org/officeDocument/2006/relationships/hyperlink" Target="https://vip.1otruda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ip.1otruda.ru/" TargetMode="External"/><Relationship Id="rId20" Type="http://schemas.openxmlformats.org/officeDocument/2006/relationships/hyperlink" Target="https://vip.1otrud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24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15" Type="http://schemas.openxmlformats.org/officeDocument/2006/relationships/hyperlink" Target="https://vip.1otruda.ru/" TargetMode="External"/><Relationship Id="rId23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19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Relationship Id="rId9" Type="http://schemas.openxmlformats.org/officeDocument/2006/relationships/hyperlink" Target="https://vip.1otruda.ru/" TargetMode="External"/><Relationship Id="rId14" Type="http://schemas.openxmlformats.org/officeDocument/2006/relationships/hyperlink" Target="https://vip.1otruda.ru/" TargetMode="External"/><Relationship Id="rId22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1932</Words>
  <Characters>11016</Characters>
  <Application>Microsoft Office Word</Application>
  <DocSecurity>0</DocSecurity>
  <Lines>91</Lines>
  <Paragraphs>25</Paragraphs>
  <ScaleCrop>false</ScaleCrop>
  <Company/>
  <LinksUpToDate>false</LinksUpToDate>
  <CharactersWithSpaces>12923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2018-10-07T21:38:00Z</dcterms:created>
  <dcterms:modified xsi:type="dcterms:W3CDTF">2018-10-07T21:38:00Z</dcterms:modified>
</cp:coreProperties>
</file>