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6403">
      <w:pPr>
        <w:pStyle w:val="printredaction-line"/>
        <w:divId w:val="1151291157"/>
      </w:pPr>
      <w:r>
        <w:t>Редакция от 1 янв 2016</w:t>
      </w:r>
    </w:p>
    <w:p w:rsidR="00000000" w:rsidRDefault="00AF6403">
      <w:pPr>
        <w:pStyle w:val="2"/>
        <w:divId w:val="1151291157"/>
        <w:rPr>
          <w:rFonts w:eastAsia="Times New Roman"/>
        </w:rPr>
      </w:pPr>
      <w:r>
        <w:rPr>
          <w:rFonts w:eastAsia="Times New Roman"/>
        </w:rPr>
        <w:t>Подготовка нормативной базы для внедрения системы управления профессиональными рисками</w:t>
      </w:r>
    </w:p>
    <w:p w:rsidR="00000000" w:rsidRDefault="00AF6403">
      <w:pPr>
        <w:pStyle w:val="a3"/>
        <w:divId w:val="1151291157"/>
      </w:pPr>
      <w:r>
        <w:rPr>
          <w:b/>
          <w:bCs/>
        </w:rPr>
        <w:t>Корж В. А.</w:t>
      </w:r>
    </w:p>
    <w:p w:rsidR="00000000" w:rsidRDefault="00AF6403">
      <w:pPr>
        <w:pStyle w:val="a3"/>
        <w:divId w:val="1279410666"/>
      </w:pPr>
      <w:r>
        <w:t>Основной задачей новой</w:t>
      </w:r>
      <w:r>
        <w:t xml:space="preserve"> </w:t>
      </w:r>
      <w:hyperlink r:id="rId4" w:anchor="/document/113/5303/" w:tooltip="Система управления охраной труда" w:history="1">
        <w:r>
          <w:rPr>
            <w:rStyle w:val="a4"/>
          </w:rPr>
          <w:t>системы управления охраной труда</w:t>
        </w:r>
      </w:hyperlink>
      <w:r>
        <w:t xml:space="preserve"> является переход от реагирования на страховые случаи постфактум к управлению рисками повреждения здоровья работников. Данная цель может быть достигнута созданием всеобъемлющей, сквозной системы управления профессиональными </w:t>
      </w:r>
      <w:r>
        <w:t>рисками, которая должна стать основным инструментом управления системой сохранения жизни и здоровья работников в процессе трудовой деятельности, охватывая все рабочие места вне зависимости от размера и формы собственности предприятия.</w:t>
      </w:r>
      <w:r>
        <w:t xml:space="preserve"> </w:t>
      </w:r>
    </w:p>
    <w:p w:rsidR="00000000" w:rsidRDefault="00AF6403">
      <w:pPr>
        <w:pStyle w:val="a3"/>
        <w:divId w:val="1279410666"/>
      </w:pPr>
      <w:r>
        <w:t>От нынешней практики</w:t>
      </w:r>
      <w:r>
        <w:t xml:space="preserve"> периодических мероприятий в сфере безопасности и</w:t>
      </w:r>
      <w:r>
        <w:t xml:space="preserve"> </w:t>
      </w:r>
      <w:hyperlink r:id="rId5" w:anchor="/document/113/5172/" w:tooltip="Охрана труда" w:history="1">
        <w:r>
          <w:rPr>
            <w:rStyle w:val="a4"/>
          </w:rPr>
          <w:t>охраны труда</w:t>
        </w:r>
      </w:hyperlink>
      <w:r>
        <w:t xml:space="preserve"> необходимо перейти к непрерывному процессу действий, направленных на снижение рисков до приемлемых пределов, вовле</w:t>
      </w:r>
      <w:r>
        <w:t>чение в управление рисками основных сторон социального партнерства – государства, работодателей и работников.</w:t>
      </w:r>
      <w:r>
        <w:t xml:space="preserve"> </w:t>
      </w:r>
    </w:p>
    <w:p w:rsidR="00000000" w:rsidRDefault="00AF6403">
      <w:pPr>
        <w:pStyle w:val="a3"/>
        <w:divId w:val="1279410666"/>
      </w:pPr>
      <w:r>
        <w:t>Система управления рисками должна начинаться именно с работника, его</w:t>
      </w:r>
      <w:r>
        <w:t xml:space="preserve"> </w:t>
      </w:r>
      <w:hyperlink r:id="rId6" w:anchor="/document/99/901807664/XA00MCS2N5/" w:history="1">
        <w:r>
          <w:rPr>
            <w:rStyle w:val="a4"/>
          </w:rPr>
          <w:t>ответственности и обязанности</w:t>
        </w:r>
      </w:hyperlink>
      <w:r>
        <w:t xml:space="preserve"> по ежедневной оценке возможных опасностей на конкретном рабочем месте и принятии мер по их устранению.</w:t>
      </w:r>
      <w:r>
        <w:t xml:space="preserve"> </w:t>
      </w:r>
    </w:p>
    <w:p w:rsidR="00000000" w:rsidRDefault="00AF6403">
      <w:pPr>
        <w:pStyle w:val="a3"/>
        <w:divId w:val="1279410666"/>
      </w:pPr>
      <w:r>
        <w:t>Система управления профессиональными рисками нацелена на:</w:t>
      </w:r>
      <w:r>
        <w:t xml:space="preserve"> </w:t>
      </w:r>
    </w:p>
    <w:p w:rsidR="00000000" w:rsidRDefault="00AF6403">
      <w:pPr>
        <w:pStyle w:val="a3"/>
        <w:divId w:val="1279410666"/>
      </w:pPr>
      <w:r>
        <w:t>• сокращение числа работников, пострадавших или погибших в резу</w:t>
      </w:r>
      <w:r>
        <w:t>льтате несчастных случаев на производстве;</w:t>
      </w:r>
      <w:r>
        <w:t xml:space="preserve"> </w:t>
      </w:r>
    </w:p>
    <w:p w:rsidR="00000000" w:rsidRDefault="00AF6403">
      <w:pPr>
        <w:pStyle w:val="a3"/>
        <w:divId w:val="1279410666"/>
      </w:pPr>
      <w:r>
        <w:t>• снижение удельного веса работников, занятых в условиях, не отвечающих санитарно-гигиеническим нормам;</w:t>
      </w:r>
      <w:r>
        <w:t xml:space="preserve"> </w:t>
      </w:r>
    </w:p>
    <w:p w:rsidR="00000000" w:rsidRDefault="00AF6403">
      <w:pPr>
        <w:pStyle w:val="a3"/>
        <w:divId w:val="1279410666"/>
      </w:pPr>
      <w:r>
        <w:t>• сокращение доли промышленных предприятий с неудовлетворительными условиями труда.</w:t>
      </w:r>
      <w:r>
        <w:t xml:space="preserve"> </w:t>
      </w:r>
    </w:p>
    <w:p w:rsidR="00000000" w:rsidRDefault="00AF6403">
      <w:pPr>
        <w:pStyle w:val="a3"/>
        <w:divId w:val="1279410666"/>
      </w:pPr>
      <w:r>
        <w:t>Основная суть предстоя</w:t>
      </w:r>
      <w:r>
        <w:t>щей реформы состоит в переходе:</w:t>
      </w:r>
      <w:r>
        <w:t xml:space="preserve"> </w:t>
      </w:r>
    </w:p>
    <w:p w:rsidR="00000000" w:rsidRDefault="00AF6403">
      <w:pPr>
        <w:pStyle w:val="a3"/>
        <w:divId w:val="1279410666"/>
      </w:pPr>
      <w:r>
        <w:t>• от системы реагирования на происшествия и материальной компенсации неблагоприятных последствий к системе оценки и управления профессиональными рисками и устранению причин опасных происшествий;</w:t>
      </w:r>
      <w:r>
        <w:t xml:space="preserve"> </w:t>
      </w:r>
    </w:p>
    <w:p w:rsidR="00000000" w:rsidRDefault="00AF6403">
      <w:pPr>
        <w:pStyle w:val="a3"/>
        <w:divId w:val="1279410666"/>
      </w:pPr>
      <w:r>
        <w:t>• от системы формальных нак</w:t>
      </w:r>
      <w:r>
        <w:t>азаний за несоответствие требованиям действующего законодательства к системе экономических стимулов обеспечения безопасных условий труда и внедрения безопасных технологий;</w:t>
      </w:r>
      <w:r>
        <w:t xml:space="preserve"> </w:t>
      </w:r>
    </w:p>
    <w:p w:rsidR="00000000" w:rsidRDefault="00AF6403">
      <w:pPr>
        <w:pStyle w:val="a3"/>
        <w:divId w:val="1279410666"/>
      </w:pPr>
      <w:r>
        <w:t xml:space="preserve">• от системы страхования, основанной на формальных страховых тарифах, рассчитанных </w:t>
      </w:r>
      <w:r>
        <w:t>по усредненным показателям по виду экономической деятельности, к системе страхования, основанной на индивидуальных тарифах, рассчитанных по фактическим показателям профессионального риска в организации.</w:t>
      </w:r>
      <w:r>
        <w:t xml:space="preserve"> </w:t>
      </w:r>
    </w:p>
    <w:p w:rsidR="00000000" w:rsidRDefault="00AF6403">
      <w:pPr>
        <w:pStyle w:val="a3"/>
        <w:divId w:val="1279410666"/>
      </w:pPr>
      <w:r>
        <w:lastRenderedPageBreak/>
        <w:t>Базовыми элементами системы оценки и управления риск</w:t>
      </w:r>
      <w:r>
        <w:t>ами являются:</w:t>
      </w:r>
      <w:r>
        <w:t xml:space="preserve"> </w:t>
      </w:r>
    </w:p>
    <w:p w:rsidR="00000000" w:rsidRDefault="00AF6403">
      <w:pPr>
        <w:pStyle w:val="a3"/>
        <w:divId w:val="1279410666"/>
      </w:pPr>
      <w:r>
        <w:t>• формирование общефедеральной законодательной базы в сфере оценки и управления профессиональными рисками в РФ;</w:t>
      </w:r>
      <w:r>
        <w:t xml:space="preserve"> </w:t>
      </w:r>
    </w:p>
    <w:p w:rsidR="00000000" w:rsidRDefault="00AF6403">
      <w:pPr>
        <w:pStyle w:val="a3"/>
        <w:divId w:val="1279410666"/>
      </w:pPr>
      <w:r>
        <w:t>• разработка и утверждение на федеральном уровне единой методологии оценки и управления профессиональными рисками;</w:t>
      </w:r>
      <w:r>
        <w:t xml:space="preserve"> </w:t>
      </w:r>
    </w:p>
    <w:p w:rsidR="00000000" w:rsidRDefault="00AF6403">
      <w:pPr>
        <w:pStyle w:val="a3"/>
        <w:divId w:val="1279410666"/>
      </w:pPr>
      <w:r>
        <w:t>• модернизац</w:t>
      </w:r>
      <w:r>
        <w:t>ия системы социального страхования и переход к системе страхования профессиональных рисков в зависимости от реальных условий труда работников;</w:t>
      </w:r>
      <w:r>
        <w:t xml:space="preserve"> </w:t>
      </w:r>
    </w:p>
    <w:p w:rsidR="00000000" w:rsidRDefault="00AF6403">
      <w:pPr>
        <w:pStyle w:val="a3"/>
        <w:divId w:val="1279410666"/>
      </w:pPr>
      <w:r>
        <w:t>• создание единого информационного пространства в сфере оценки, управления и страхования производственными риска</w:t>
      </w:r>
      <w:r>
        <w:t>ми;</w:t>
      </w:r>
      <w:r>
        <w:t xml:space="preserve"> </w:t>
      </w:r>
    </w:p>
    <w:p w:rsidR="00000000" w:rsidRDefault="00AF6403">
      <w:pPr>
        <w:pStyle w:val="a3"/>
        <w:divId w:val="1279410666"/>
      </w:pPr>
      <w:r>
        <w:t>• техническое оснащение и повышение компетенции органов контроля и надзора в сфере оценки и управления профессиональными рисками;</w:t>
      </w:r>
      <w:r>
        <w:t xml:space="preserve"> </w:t>
      </w:r>
    </w:p>
    <w:p w:rsidR="00000000" w:rsidRDefault="00AF6403">
      <w:pPr>
        <w:pStyle w:val="a3"/>
        <w:divId w:val="1279410666"/>
      </w:pPr>
      <w:r>
        <w:t>• формирование института профессиональных аудиторов в области оценки профессиональных рисков</w:t>
      </w:r>
      <w:r>
        <w:t>.</w:t>
      </w:r>
    </w:p>
    <w:p w:rsidR="00000000" w:rsidRDefault="00AF6403">
      <w:pPr>
        <w:divId w:val="366566602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AF6403">
      <w:pPr>
        <w:pStyle w:val="a3"/>
        <w:divId w:val="366566602"/>
      </w:pPr>
      <w:r>
        <w:t xml:space="preserve">на федеральном </w:t>
      </w:r>
      <w:r>
        <w:t>уровне невозможно охватить все виды экономической деятельности, прописать для каждого работодателя с учетом специфики его вида деятельности процедуры по управлению профессиональными рисками. Минтрудом России подготовлены и будут приняты регламенты, стандар</w:t>
      </w:r>
      <w:r>
        <w:t>ты безопасности, содержащие общетиповые управленческие схемы. Предстоит взаимоувязать в единый комплекс все процедуры в сфере охраны труда (специальная оценка как оценка условий труда на рабочих местах, медицинские осмотры и пр.) и направить их на достижен</w:t>
      </w:r>
      <w:r>
        <w:t xml:space="preserve">ие главной цели – сохранение здоровья работника. </w:t>
      </w:r>
    </w:p>
    <w:p w:rsidR="00000000" w:rsidRDefault="00AF6403">
      <w:pPr>
        <w:pStyle w:val="a3"/>
        <w:divId w:val="1279410666"/>
      </w:pPr>
      <w:r>
        <w:t>В целях разработки методологии оценки и управления профессиональными рисками подготовлены проекты следующих нормативно-правовых актов:</w:t>
      </w:r>
      <w:r>
        <w:t xml:space="preserve"> </w:t>
      </w:r>
    </w:p>
    <w:p w:rsidR="00000000" w:rsidRDefault="00AF6403">
      <w:pPr>
        <w:pStyle w:val="a3"/>
        <w:divId w:val="1279410666"/>
      </w:pPr>
      <w:r>
        <w:t>• Положения о системе управления профессиональными рисками в РФ;</w:t>
      </w:r>
      <w:r>
        <w:t xml:space="preserve"> </w:t>
      </w:r>
    </w:p>
    <w:p w:rsidR="00000000" w:rsidRDefault="00AF6403">
      <w:pPr>
        <w:pStyle w:val="a3"/>
        <w:divId w:val="1279410666"/>
      </w:pPr>
      <w:r>
        <w:t>• Ст</w:t>
      </w:r>
      <w:r>
        <w:t>андарта по оценке профессиональных рисков;</w:t>
      </w:r>
      <w:r>
        <w:t xml:space="preserve"> </w:t>
      </w:r>
    </w:p>
    <w:p w:rsidR="00000000" w:rsidRDefault="00AF6403">
      <w:pPr>
        <w:pStyle w:val="a3"/>
        <w:divId w:val="1279410666"/>
      </w:pPr>
      <w:r>
        <w:t>• Руководства по управлению профессиональными рисками;</w:t>
      </w:r>
      <w:r>
        <w:t xml:space="preserve"> </w:t>
      </w:r>
    </w:p>
    <w:p w:rsidR="00000000" w:rsidRDefault="00AF6403">
      <w:pPr>
        <w:pStyle w:val="a3"/>
        <w:divId w:val="1279410666"/>
      </w:pPr>
      <w:r>
        <w:t>• Порядка создания и ведения реестров данных о состоянии условий труда, производственного травматизма на рабочих местах и данных о показателях уровней профе</w:t>
      </w:r>
      <w:r>
        <w:t>ссионального риска в организациях;</w:t>
      </w:r>
      <w:r>
        <w:t xml:space="preserve"> </w:t>
      </w:r>
    </w:p>
    <w:p w:rsidR="00000000" w:rsidRDefault="00AF6403">
      <w:pPr>
        <w:pStyle w:val="a3"/>
        <w:divId w:val="1279410666"/>
      </w:pPr>
      <w:r>
        <w:t>• Концепции оценки профессионального риска причинения вреда жизни и здоровью работника с учетом индивидуально накопленной дозы воздействия опасных и вредных производственных факторов.</w:t>
      </w:r>
      <w:r>
        <w:t xml:space="preserve"> </w:t>
      </w:r>
    </w:p>
    <w:p w:rsidR="00000000" w:rsidRDefault="00AF6403">
      <w:pPr>
        <w:divId w:val="49350084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AF6403">
      <w:pPr>
        <w:pStyle w:val="a3"/>
        <w:divId w:val="49350084"/>
      </w:pPr>
      <w:r>
        <w:t xml:space="preserve">в ходе исследований, проводившихся по заданию Минтруда России, был сделан сравнительный анализ систем оценки рисков. При этом было установлено, что </w:t>
      </w:r>
      <w:r>
        <w:lastRenderedPageBreak/>
        <w:t>профессиональный риск (разработанный метод) – это количественная оценка риска, основанная на комбинации апри</w:t>
      </w:r>
      <w:r>
        <w:t>орной и апостериорной оценок, применяемая при определении индивидуального профессионального риска работника и интегрального уровня профессионального риска в организации.</w:t>
      </w:r>
    </w:p>
    <w:p w:rsidR="00AF6403" w:rsidRDefault="00AF6403">
      <w:pPr>
        <w:divId w:val="200627524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</w:t>
      </w:r>
      <w:r>
        <w:rPr>
          <w:rFonts w:ascii="Arial" w:eastAsia="Times New Roman" w:hAnsi="Arial" w:cs="Arial"/>
          <w:sz w:val="22"/>
          <w:szCs w:val="22"/>
        </w:rPr>
        <w:t>8</w:t>
      </w:r>
    </w:p>
    <w:sectPr w:rsidR="00AF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15028B"/>
    <w:rsid w:val="0015028B"/>
    <w:rsid w:val="00AF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29115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0666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1192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33702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5240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2018-07-03T05:55:00Z</dcterms:created>
  <dcterms:modified xsi:type="dcterms:W3CDTF">2018-07-03T05:55:00Z</dcterms:modified>
</cp:coreProperties>
</file>