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56CE">
      <w:pPr>
        <w:pStyle w:val="printredaction-line"/>
        <w:divId w:val="439420423"/>
      </w:pPr>
      <w:r>
        <w:t>Редакция от 9 июня 2017</w:t>
      </w:r>
    </w:p>
    <w:p w:rsidR="00000000" w:rsidRDefault="005356CE">
      <w:pPr>
        <w:pStyle w:val="2"/>
        <w:divId w:val="439420423"/>
        <w:rPr>
          <w:rFonts w:eastAsia="Times New Roman"/>
        </w:rPr>
      </w:pPr>
      <w:r>
        <w:rPr>
          <w:rFonts w:eastAsia="Times New Roman"/>
        </w:rPr>
        <w:t>Требования к удерживающей и страховочной привязи</w:t>
      </w:r>
    </w:p>
    <w:p w:rsidR="00000000" w:rsidRDefault="005356CE">
      <w:pPr>
        <w:pStyle w:val="a3"/>
        <w:divId w:val="439420423"/>
      </w:pPr>
      <w:r>
        <w:rPr>
          <w:b/>
          <w:bCs/>
        </w:rPr>
        <w:t>И. Иванников</w:t>
      </w:r>
    </w:p>
    <w:p w:rsidR="00000000" w:rsidRDefault="005356CE">
      <w:pPr>
        <w:pStyle w:val="a3"/>
        <w:divId w:val="522787832"/>
      </w:pPr>
      <w:hyperlink r:id="rId5" w:anchor="/document/16/37378/iva11/" w:history="1">
        <w:r>
          <w:rPr>
            <w:rStyle w:val="a4"/>
          </w:rPr>
          <w:t>Страховочная привязь</w:t>
        </w:r>
      </w:hyperlink>
      <w:r>
        <w:t xml:space="preserve"> и </w:t>
      </w:r>
      <w:hyperlink r:id="rId6" w:anchor="/document/16/37378/iva12/" w:history="1">
        <w:r>
          <w:rPr>
            <w:rStyle w:val="a4"/>
          </w:rPr>
          <w:t>удерживающая привязь</w:t>
        </w:r>
      </w:hyperlink>
      <w:r>
        <w:t xml:space="preserve"> – это</w:t>
      </w:r>
      <w:r>
        <w:t xml:space="preserve"> </w:t>
      </w:r>
      <w:hyperlink r:id="rId7" w:anchor="/document/16/17523/" w:history="1">
        <w:r>
          <w:rPr>
            <w:rStyle w:val="a4"/>
          </w:rPr>
          <w:t>СИЗ для работы на высоте</w:t>
        </w:r>
      </w:hyperlink>
      <w:r>
        <w:t xml:space="preserve">. Они должны выдерживать </w:t>
      </w:r>
      <w:hyperlink r:id="rId8" w:anchor="/document/16/37378/iva35/" w:history="1">
        <w:r>
          <w:rPr>
            <w:rStyle w:val="a4"/>
          </w:rPr>
          <w:t>нагрузку</w:t>
        </w:r>
      </w:hyperlink>
      <w:r>
        <w:t>, которая предусмотрена</w:t>
      </w:r>
      <w:r>
        <w:t xml:space="preserve"> </w:t>
      </w:r>
      <w:hyperlink r:id="rId9" w:anchor="/document/99/902320567/" w:history="1">
        <w:r>
          <w:rPr>
            <w:rStyle w:val="a4"/>
          </w:rPr>
          <w:t>техническим регламентом</w:t>
        </w:r>
      </w:hyperlink>
      <w:r>
        <w:t xml:space="preserve"> Комиссии Таможенного союза от 9 декабря 2011 г. № 019/2011 (далее</w:t>
      </w:r>
      <w:r>
        <w:t xml:space="preserve"> </w:t>
      </w:r>
      <w:hyperlink r:id="rId10" w:anchor="/document/99/902320567/" w:history="1">
        <w:r>
          <w:rPr>
            <w:rStyle w:val="a4"/>
          </w:rPr>
          <w:t>Технический регламент № 019/2011</w:t>
        </w:r>
      </w:hyperlink>
      <w:r>
        <w:t>), пройти</w:t>
      </w:r>
      <w:r>
        <w:t xml:space="preserve"> </w:t>
      </w:r>
      <w:hyperlink r:id="rId11" w:anchor="/document/12/82148/" w:history="1">
        <w:r>
          <w:rPr>
            <w:rStyle w:val="a4"/>
          </w:rPr>
          <w:t>сертификацию</w:t>
        </w:r>
      </w:hyperlink>
      <w:r>
        <w:t xml:space="preserve"> и иметь </w:t>
      </w:r>
      <w:hyperlink r:id="rId12" w:anchor="/document/16/37378/iva27/" w:history="1">
        <w:r>
          <w:rPr>
            <w:rStyle w:val="a4"/>
          </w:rPr>
          <w:t>маркировку</w:t>
        </w:r>
      </w:hyperlink>
      <w:r>
        <w:t>.</w:t>
      </w:r>
    </w:p>
    <w:p w:rsidR="00000000" w:rsidRDefault="005356CE">
      <w:pPr>
        <w:pStyle w:val="a3"/>
        <w:divId w:val="522787832"/>
      </w:pPr>
      <w:r>
        <w:t xml:space="preserve">После приобретения проверьте страховочную привязь, чтобы подтвердить ее рабочее состояние, и сделайте запись </w:t>
      </w:r>
      <w:r>
        <w:t>в</w:t>
      </w:r>
      <w:r>
        <w:t xml:space="preserve"> </w:t>
      </w:r>
      <w:hyperlink r:id="rId13" w:anchor="/document/118/29020/" w:history="1">
        <w:r>
          <w:rPr>
            <w:rStyle w:val="a4"/>
          </w:rPr>
          <w:t>журнал проверок СИЗ</w:t>
        </w:r>
      </w:hyperlink>
      <w:r>
        <w:t>. Проверка не обязательна в случае экстренного применения СИЗ, которые упакованы или запаяны в упаковку компетентным лицом (подп. «k» п. 4.2.2 ГОСТ Р ЕН 365-2010 «Средства и</w:t>
      </w:r>
      <w:r>
        <w:t>ндивидуальной защиты от падения с высоты»)</w:t>
      </w:r>
      <w:r>
        <w:t>.</w:t>
      </w:r>
    </w:p>
    <w:p w:rsidR="00000000" w:rsidRDefault="005356CE">
      <w:pPr>
        <w:pStyle w:val="a3"/>
        <w:divId w:val="522787832"/>
      </w:pPr>
      <w:r>
        <w:t>В ходе эксплуатации СИЗ</w:t>
      </w:r>
      <w:r>
        <w:t>:</w:t>
      </w:r>
    </w:p>
    <w:p w:rsidR="00000000" w:rsidRDefault="005356CE">
      <w:pPr>
        <w:numPr>
          <w:ilvl w:val="0"/>
          <w:numId w:val="1"/>
        </w:numPr>
        <w:spacing w:after="103"/>
        <w:ind w:left="686"/>
        <w:divId w:val="522787832"/>
        <w:rPr>
          <w:rFonts w:eastAsia="Times New Roman"/>
        </w:rPr>
      </w:pPr>
      <w:hyperlink r:id="rId14" w:anchor="/document/16/17469/xbs7sz8ps0smoxdd590n0sjft2/" w:history="1">
        <w:r>
          <w:rPr>
            <w:rStyle w:val="a4"/>
            <w:rFonts w:eastAsia="Times New Roman"/>
          </w:rPr>
          <w:t>ведут учет</w:t>
        </w:r>
      </w:hyperlink>
      <w:r>
        <w:rPr>
          <w:rFonts w:eastAsia="Times New Roman"/>
        </w:rPr>
        <w:t>;</w:t>
      </w:r>
    </w:p>
    <w:p w:rsidR="00000000" w:rsidRDefault="005356CE">
      <w:pPr>
        <w:numPr>
          <w:ilvl w:val="0"/>
          <w:numId w:val="1"/>
        </w:numPr>
        <w:spacing w:after="103"/>
        <w:ind w:left="686"/>
        <w:divId w:val="522787832"/>
        <w:rPr>
          <w:rFonts w:eastAsia="Times New Roman"/>
        </w:rPr>
      </w:pPr>
      <w:hyperlink r:id="rId15" w:anchor="/document/16/17469/xblo19osvjtdal0zx7rhzo977q/" w:history="1">
        <w:r>
          <w:rPr>
            <w:rStyle w:val="a4"/>
            <w:rFonts w:eastAsia="Times New Roman"/>
          </w:rPr>
          <w:t>содержат в исправном состоянии</w:t>
        </w:r>
      </w:hyperlink>
      <w:r>
        <w:rPr>
          <w:rFonts w:eastAsia="Times New Roman"/>
        </w:rPr>
        <w:t>;</w:t>
      </w:r>
    </w:p>
    <w:p w:rsidR="00000000" w:rsidRDefault="005356CE">
      <w:pPr>
        <w:numPr>
          <w:ilvl w:val="0"/>
          <w:numId w:val="1"/>
        </w:numPr>
        <w:spacing w:after="103"/>
        <w:ind w:left="686"/>
        <w:divId w:val="522787832"/>
        <w:rPr>
          <w:rFonts w:eastAsia="Times New Roman"/>
        </w:rPr>
      </w:pPr>
      <w:r>
        <w:rPr>
          <w:rFonts w:eastAsia="Times New Roman"/>
        </w:rPr>
        <w:t>осматривают до и после каждого использования;</w:t>
      </w:r>
    </w:p>
    <w:p w:rsidR="00000000" w:rsidRDefault="005356CE">
      <w:pPr>
        <w:numPr>
          <w:ilvl w:val="0"/>
          <w:numId w:val="1"/>
        </w:numPr>
        <w:spacing w:after="103"/>
        <w:ind w:left="686"/>
        <w:divId w:val="522787832"/>
        <w:rPr>
          <w:rFonts w:eastAsia="Times New Roman"/>
        </w:rPr>
      </w:pPr>
      <w:r>
        <w:rPr>
          <w:rFonts w:eastAsia="Times New Roman"/>
        </w:rPr>
        <w:t xml:space="preserve">проводят регулярную </w:t>
      </w:r>
      <w:hyperlink r:id="rId16" w:anchor="/document/16/37378/iva22/" w:history="1">
        <w:r>
          <w:rPr>
            <w:rStyle w:val="a4"/>
            <w:rFonts w:eastAsia="Times New Roman"/>
          </w:rPr>
          <w:t>проверку</w:t>
        </w:r>
      </w:hyperlink>
      <w:r>
        <w:rPr>
          <w:rFonts w:eastAsia="Times New Roman"/>
        </w:rPr>
        <w:t>;</w:t>
      </w:r>
    </w:p>
    <w:p w:rsidR="00000000" w:rsidRDefault="005356CE">
      <w:pPr>
        <w:numPr>
          <w:ilvl w:val="0"/>
          <w:numId w:val="1"/>
        </w:numPr>
        <w:spacing w:after="103"/>
        <w:ind w:left="686"/>
        <w:divId w:val="522787832"/>
        <w:rPr>
          <w:rFonts w:eastAsia="Times New Roman"/>
        </w:rPr>
      </w:pPr>
      <w:r>
        <w:rPr>
          <w:rFonts w:eastAsia="Times New Roman"/>
        </w:rPr>
        <w:t>заменяют после истечения срока использования.</w:t>
      </w:r>
    </w:p>
    <w:p w:rsidR="00000000" w:rsidRDefault="005356CE">
      <w:pPr>
        <w:pStyle w:val="2"/>
        <w:divId w:val="522787832"/>
        <w:rPr>
          <w:rFonts w:eastAsia="Times New Roman"/>
        </w:rPr>
      </w:pPr>
      <w:r>
        <w:rPr>
          <w:rFonts w:eastAsia="Times New Roman"/>
        </w:rPr>
        <w:t>Какие отличия страховочной привязи</w:t>
      </w:r>
      <w:r>
        <w:rPr>
          <w:rFonts w:eastAsia="Times New Roman"/>
        </w:rPr>
        <w:t xml:space="preserve"> от удерживающей привяз</w:t>
      </w:r>
      <w:r>
        <w:rPr>
          <w:rFonts w:eastAsia="Times New Roman"/>
        </w:rPr>
        <w:t>и</w:t>
      </w:r>
    </w:p>
    <w:p w:rsidR="00000000" w:rsidRDefault="005356CE">
      <w:pPr>
        <w:pStyle w:val="a3"/>
        <w:divId w:val="522787832"/>
      </w:pPr>
      <w:r>
        <w:t>Страховочная привязь, или пояс предохранительный лямочный, – это компонент</w:t>
      </w:r>
      <w:r>
        <w:t xml:space="preserve"> </w:t>
      </w:r>
      <w:hyperlink r:id="rId17" w:anchor="/document/16/17523/xa34kfuoknmm70ah1m60bi9u3g/" w:history="1">
        <w:r>
          <w:rPr>
            <w:rStyle w:val="a4"/>
          </w:rPr>
          <w:t>страховочной системы</w:t>
        </w:r>
      </w:hyperlink>
      <w:r>
        <w:t xml:space="preserve"> для охвата тела человека. Она нужна, чтобы пред</w:t>
      </w:r>
      <w:r>
        <w:t>отвратить или приостановить падение с высоты. Страховочная привязь может включать соединительные стропы, пряжки и элементы для поддержки тела человека и его удержания во время падения и после него</w:t>
      </w:r>
      <w:r>
        <w:t>.</w:t>
      </w:r>
    </w:p>
    <w:p w:rsidR="00000000" w:rsidRDefault="005356CE">
      <w:pPr>
        <w:pStyle w:val="a3"/>
        <w:divId w:val="522787832"/>
      </w:pPr>
      <w:r>
        <w:t>Удерживающая привязь, или пояс предохранительный безлямочн</w:t>
      </w:r>
      <w:r>
        <w:t>ый (прежде назывался монтажным поясом), – это компонент</w:t>
      </w:r>
      <w:r>
        <w:t xml:space="preserve"> </w:t>
      </w:r>
      <w:hyperlink r:id="rId18" w:anchor="/document/16/17523/x2c82ap6wbol8qofvv7emo6vwl/" w:history="1">
        <w:r>
          <w:rPr>
            <w:rStyle w:val="a4"/>
          </w:rPr>
          <w:t>удерживающей системы</w:t>
        </w:r>
      </w:hyperlink>
      <w:r>
        <w:t>, который охватывает туловище человека и состоит из отдельных деталей, которые в сочетании с</w:t>
      </w:r>
      <w:r>
        <w:t>о стропами фиксируют пользователя на определенной высоте во время работы</w:t>
      </w:r>
      <w:r>
        <w:t>.</w:t>
      </w:r>
    </w:p>
    <w:p w:rsidR="00000000" w:rsidRDefault="005356CE">
      <w:pPr>
        <w:pStyle w:val="a3"/>
        <w:divId w:val="522787832"/>
      </w:pPr>
      <w:r>
        <w:t>Как страховочная привязь, так и удерживающая привязь – это части</w:t>
      </w:r>
      <w:r>
        <w:t xml:space="preserve"> </w:t>
      </w:r>
      <w:hyperlink r:id="rId19" w:anchor="/document/16/17523/tit2/" w:history="1">
        <w:r>
          <w:rPr>
            <w:rStyle w:val="a4"/>
          </w:rPr>
          <w:t>системы</w:t>
        </w:r>
      </w:hyperlink>
      <w:r>
        <w:t xml:space="preserve"> обеспечения безопасности работ. В удерживаю</w:t>
      </w:r>
      <w:r>
        <w:t>щих системах можно использовать как удерживающую привязь, так и страховочную привязь. В страховочных системах нельзя использовать удерживающие привязи – используйте только страховочную</w:t>
      </w:r>
      <w:r>
        <w:t>.</w:t>
      </w:r>
    </w:p>
    <w:p w:rsidR="00000000" w:rsidRDefault="005356CE">
      <w:pPr>
        <w:pStyle w:val="a3"/>
        <w:divId w:val="522787832"/>
      </w:pPr>
      <w:r>
        <w:t>Это следует из</w:t>
      </w:r>
      <w:r>
        <w:t xml:space="preserve"> </w:t>
      </w:r>
      <w:hyperlink r:id="rId20" w:anchor="/document/99/499087789/XA00M742ME/" w:history="1">
        <w:r>
          <w:rPr>
            <w:rStyle w:val="a4"/>
          </w:rPr>
          <w:t>подпункта «б»</w:t>
        </w:r>
      </w:hyperlink>
      <w:r>
        <w:t xml:space="preserve"> пункта 98, пунктов</w:t>
      </w:r>
      <w:r>
        <w:t xml:space="preserve"> </w:t>
      </w:r>
      <w:hyperlink r:id="rId21" w:anchor="/document/99/499087789/XA00MG82O6/" w:history="1">
        <w:r>
          <w:rPr>
            <w:rStyle w:val="a4"/>
          </w:rPr>
          <w:t>102</w:t>
        </w:r>
      </w:hyperlink>
      <w:r>
        <w:t>,</w:t>
      </w:r>
      <w:r>
        <w:t xml:space="preserve"> </w:t>
      </w:r>
      <w:hyperlink r:id="rId22" w:anchor="/document/99/499087789/XA00M8U2NA/" w:history="1">
        <w:r>
          <w:rPr>
            <w:rStyle w:val="a4"/>
          </w:rPr>
          <w:t>104</w:t>
        </w:r>
      </w:hyperlink>
      <w:r>
        <w:t xml:space="preserve"> Правил, утвержденных</w:t>
      </w:r>
      <w:r>
        <w:t xml:space="preserve"> </w:t>
      </w:r>
      <w:hyperlink r:id="rId23" w:anchor="/document/99/499087789/" w:history="1">
        <w:r>
          <w:rPr>
            <w:rStyle w:val="a4"/>
          </w:rPr>
          <w:t>приказом Минтруда России от 28 марта 2014 г. № 155н</w:t>
        </w:r>
      </w:hyperlink>
      <w:r>
        <w:t>, и</w:t>
      </w:r>
      <w:r>
        <w:t xml:space="preserve"> </w:t>
      </w:r>
      <w:hyperlink r:id="rId24" w:anchor="/document/99/902320567/XA00M7G2MM/" w:history="1">
        <w:r>
          <w:rPr>
            <w:rStyle w:val="a4"/>
          </w:rPr>
          <w:t>раздела 2</w:t>
        </w:r>
      </w:hyperlink>
      <w:r>
        <w:t xml:space="preserve"> Технического регламента № 019/2011</w:t>
      </w:r>
      <w:r>
        <w:t>.</w:t>
      </w:r>
    </w:p>
    <w:p w:rsidR="00000000" w:rsidRDefault="005356CE">
      <w:pPr>
        <w:pStyle w:val="2"/>
        <w:divId w:val="522787832"/>
        <w:rPr>
          <w:rFonts w:eastAsia="Times New Roman"/>
        </w:rPr>
      </w:pPr>
      <w:r>
        <w:rPr>
          <w:rFonts w:eastAsia="Times New Roman"/>
        </w:rPr>
        <w:lastRenderedPageBreak/>
        <w:t>Какую нагрузку</w:t>
      </w:r>
      <w:r>
        <w:rPr>
          <w:rFonts w:eastAsia="Times New Roman"/>
        </w:rPr>
        <w:t xml:space="preserve"> должны выдерживать страховочные и удерживающие привяз</w:t>
      </w:r>
      <w:r>
        <w:rPr>
          <w:rFonts w:eastAsia="Times New Roman"/>
        </w:rPr>
        <w:t>и</w:t>
      </w:r>
    </w:p>
    <w:p w:rsidR="00000000" w:rsidRDefault="005356CE">
      <w:pPr>
        <w:pStyle w:val="a3"/>
        <w:divId w:val="522787832"/>
      </w:pPr>
      <w:r>
        <w:t>Страховочная привязь должна выдерживать динамическую нагрузку при падении груза массой 100 кг с высоты, равной 4 метрам, 2 метрам и 1 метру, а удерживающие привязи – с высоты, равной двум максимальным</w:t>
      </w:r>
      <w:r>
        <w:t xml:space="preserve"> длинам строп</w:t>
      </w:r>
      <w:r>
        <w:t>.</w:t>
      </w:r>
    </w:p>
    <w:p w:rsidR="00000000" w:rsidRDefault="005356CE">
      <w:pPr>
        <w:pStyle w:val="a3"/>
        <w:divId w:val="522787832"/>
      </w:pPr>
      <w:r>
        <w:t>В случае падения работника в момент остановки на него действует усилие, которое не должно превышать</w:t>
      </w:r>
      <w:r>
        <w:t>:</w:t>
      </w:r>
    </w:p>
    <w:p w:rsidR="00000000" w:rsidRDefault="005356CE">
      <w:pPr>
        <w:numPr>
          <w:ilvl w:val="0"/>
          <w:numId w:val="2"/>
        </w:numPr>
        <w:spacing w:after="103"/>
        <w:ind w:left="686"/>
        <w:divId w:val="522787832"/>
        <w:rPr>
          <w:rFonts w:eastAsia="Times New Roman"/>
        </w:rPr>
      </w:pPr>
      <w:r>
        <w:rPr>
          <w:rFonts w:eastAsia="Times New Roman"/>
        </w:rPr>
        <w:t xml:space="preserve">6 кН – для страховочной </w:t>
      </w:r>
      <w:hyperlink r:id="rId25" w:anchor="/document/16/37378/iva11/" w:history="1">
        <w:r>
          <w:rPr>
            <w:rStyle w:val="a4"/>
            <w:rFonts w:eastAsia="Times New Roman"/>
          </w:rPr>
          <w:t>привязи</w:t>
        </w:r>
      </w:hyperlink>
      <w:r>
        <w:rPr>
          <w:rFonts w:eastAsia="Times New Roman"/>
        </w:rPr>
        <w:t>;</w:t>
      </w:r>
    </w:p>
    <w:p w:rsidR="00000000" w:rsidRDefault="005356CE">
      <w:pPr>
        <w:numPr>
          <w:ilvl w:val="0"/>
          <w:numId w:val="2"/>
        </w:numPr>
        <w:spacing w:after="103"/>
        <w:ind w:left="686"/>
        <w:divId w:val="522787832"/>
        <w:rPr>
          <w:rFonts w:eastAsia="Times New Roman"/>
        </w:rPr>
      </w:pPr>
      <w:r>
        <w:rPr>
          <w:rFonts w:eastAsia="Times New Roman"/>
        </w:rPr>
        <w:t>4 кН – для удерживающей </w:t>
      </w:r>
      <w:hyperlink r:id="rId26" w:anchor="/document/16/37378/iva12/" w:history="1">
        <w:r>
          <w:rPr>
            <w:rStyle w:val="a4"/>
            <w:rFonts w:eastAsia="Times New Roman"/>
          </w:rPr>
          <w:t>привязи</w:t>
        </w:r>
      </w:hyperlink>
      <w:r>
        <w:rPr>
          <w:rFonts w:eastAsia="Times New Roman"/>
        </w:rPr>
        <w:t>.</w:t>
      </w:r>
    </w:p>
    <w:p w:rsidR="00000000" w:rsidRDefault="005356CE">
      <w:pPr>
        <w:pStyle w:val="a3"/>
        <w:divId w:val="522787832"/>
      </w:pPr>
      <w:r>
        <w:t>Это следует из</w:t>
      </w:r>
      <w:r>
        <w:t xml:space="preserve"> </w:t>
      </w:r>
      <w:hyperlink r:id="rId27" w:anchor="/document/99/902320567/XA00M7I2N6/" w:history="1">
        <w:r>
          <w:rPr>
            <w:rStyle w:val="a4"/>
          </w:rPr>
          <w:t>подпункта 21</w:t>
        </w:r>
      </w:hyperlink>
      <w:r>
        <w:t xml:space="preserve"> пункта 4.3 Технического регламента № 019/2011</w:t>
      </w:r>
      <w:r>
        <w:t>.</w:t>
      </w:r>
    </w:p>
    <w:p w:rsidR="00000000" w:rsidRDefault="005356CE">
      <w:pPr>
        <w:pStyle w:val="2"/>
        <w:divId w:val="522787832"/>
        <w:rPr>
          <w:rFonts w:eastAsia="Times New Roman"/>
        </w:rPr>
      </w:pPr>
      <w:r>
        <w:rPr>
          <w:rFonts w:eastAsia="Times New Roman"/>
        </w:rPr>
        <w:t>Как испытывать страховочные и удерживающие пр</w:t>
      </w:r>
      <w:r>
        <w:rPr>
          <w:rFonts w:eastAsia="Times New Roman"/>
        </w:rPr>
        <w:t>ивяз</w:t>
      </w:r>
      <w:r>
        <w:rPr>
          <w:rFonts w:eastAsia="Times New Roman"/>
        </w:rPr>
        <w:t>и</w:t>
      </w:r>
    </w:p>
    <w:p w:rsidR="00000000" w:rsidRDefault="005356CE">
      <w:pPr>
        <w:pStyle w:val="a3"/>
        <w:divId w:val="522787832"/>
      </w:pPr>
      <w:r>
        <w:t xml:space="preserve">Проводите регулярную проверку исправности </w:t>
      </w:r>
      <w:hyperlink r:id="rId28" w:anchor="/document/16/37378/iva11/" w:history="1">
        <w:r>
          <w:rPr>
            <w:rStyle w:val="a4"/>
          </w:rPr>
          <w:t>страховочной</w:t>
        </w:r>
      </w:hyperlink>
      <w:r>
        <w:t xml:space="preserve"> и </w:t>
      </w:r>
      <w:hyperlink r:id="rId29" w:anchor="/document/16/37378/iva12/" w:history="1">
        <w:r>
          <w:rPr>
            <w:rStyle w:val="a4"/>
          </w:rPr>
          <w:t>удерживающей</w:t>
        </w:r>
      </w:hyperlink>
      <w:r>
        <w:t xml:space="preserve"> привязей в соответствии с эксплуатационными до</w:t>
      </w:r>
      <w:r>
        <w:t>кументами</w:t>
      </w:r>
      <w:r>
        <w:t>.</w:t>
      </w:r>
    </w:p>
    <w:p w:rsidR="00000000" w:rsidRDefault="005356CE">
      <w:pPr>
        <w:pStyle w:val="a3"/>
        <w:divId w:val="522787832"/>
      </w:pPr>
      <w:r>
        <w:t>Динамические и статические испытания СИЗ от падения с высоты с повышенной нагрузкой в эксплуатирующих организациях не проводят. Следует провести эти испытания в организациях, которые указаны в эксплуатационных документах СИЗ</w:t>
      </w:r>
      <w:r>
        <w:t>.</w:t>
      </w:r>
    </w:p>
    <w:p w:rsidR="00000000" w:rsidRDefault="005356CE">
      <w:pPr>
        <w:pStyle w:val="a3"/>
        <w:divId w:val="522787832"/>
      </w:pPr>
      <w:r>
        <w:t>Проводите испытания</w:t>
      </w:r>
      <w:r>
        <w:t xml:space="preserve"> в сроки, которые предусмотрены документами по эксплуатации СИЗ, но не реже одного раза в 12 месяцев</w:t>
      </w:r>
      <w:r>
        <w:t>.</w:t>
      </w:r>
    </w:p>
    <w:p w:rsidR="00000000" w:rsidRDefault="005356CE">
      <w:pPr>
        <w:pStyle w:val="a3"/>
        <w:divId w:val="522787832"/>
      </w:pPr>
      <w:r>
        <w:t>Это следует из</w:t>
      </w:r>
      <w:r>
        <w:t xml:space="preserve"> </w:t>
      </w:r>
      <w:hyperlink r:id="rId30" w:anchor="/document/99/499087789/XA00M762MF/" w:history="1">
        <w:r>
          <w:rPr>
            <w:rStyle w:val="a4"/>
          </w:rPr>
          <w:t>пункта 95</w:t>
        </w:r>
      </w:hyperlink>
      <w:r>
        <w:t xml:space="preserve"> Правил, утвержденных</w:t>
      </w:r>
      <w:r>
        <w:t xml:space="preserve"> </w:t>
      </w:r>
      <w:hyperlink r:id="rId31" w:anchor="/document/99/499087789/" w:history="1">
        <w:r>
          <w:rPr>
            <w:rStyle w:val="a4"/>
          </w:rPr>
          <w:t>приказом Минтруда России от 28 марта 2014 г. № 155н</w:t>
        </w:r>
      </w:hyperlink>
      <w:r>
        <w:t>, ГОСТ Р ЕН 365-2010 и подтверждается</w:t>
      </w:r>
      <w:r>
        <w:t xml:space="preserve"> </w:t>
      </w:r>
      <w:hyperlink r:id="rId32" w:anchor="/document/97/256437/" w:history="1">
        <w:r>
          <w:rPr>
            <w:rStyle w:val="a4"/>
          </w:rPr>
          <w:t>письмом Минтруда России от 17 апреля 2015 г. № 15-2/В-1343</w:t>
        </w:r>
      </w:hyperlink>
      <w:r>
        <w:t>.</w:t>
      </w:r>
    </w:p>
    <w:p w:rsidR="00000000" w:rsidRDefault="005356CE">
      <w:pPr>
        <w:pStyle w:val="2"/>
        <w:divId w:val="522787832"/>
        <w:rPr>
          <w:rFonts w:eastAsia="Times New Roman"/>
        </w:rPr>
      </w:pPr>
      <w:r>
        <w:rPr>
          <w:rFonts w:eastAsia="Times New Roman"/>
        </w:rPr>
        <w:t>Какая маркировка должна быть на страховочных и удерживающих привязя</w:t>
      </w:r>
      <w:r>
        <w:rPr>
          <w:rFonts w:eastAsia="Times New Roman"/>
        </w:rPr>
        <w:t>х</w:t>
      </w:r>
    </w:p>
    <w:p w:rsidR="00000000" w:rsidRDefault="005356CE">
      <w:pPr>
        <w:pStyle w:val="a3"/>
        <w:divId w:val="522787832"/>
      </w:pPr>
      <w:r>
        <w:t>Маркировку наносят на изделие и на его упаковку</w:t>
      </w:r>
      <w:r>
        <w:t>.</w:t>
      </w:r>
    </w:p>
    <w:p w:rsidR="00000000" w:rsidRDefault="005356CE">
      <w:pPr>
        <w:pStyle w:val="a3"/>
        <w:divId w:val="522787832"/>
      </w:pPr>
      <w:r>
        <w:t>Если маркировку невозможно нанести на изделие, ее наносят на трудноудаляемую этикетку, которую прикрепляют к изделию. Если невозможно нане</w:t>
      </w:r>
      <w:r>
        <w:t>сти полную маркировку на изделие, наносят только часть информации, остальную – наносят на упаковку и на трудноудаляемую этикетку</w:t>
      </w:r>
      <w:r>
        <w:t>.</w:t>
      </w:r>
    </w:p>
    <w:p w:rsidR="00000000" w:rsidRDefault="005356CE">
      <w:pPr>
        <w:pStyle w:val="a3"/>
        <w:divId w:val="522787832"/>
      </w:pPr>
      <w:r>
        <w:t xml:space="preserve">На СИЗ от падения или спасения с высоты, в том числе </w:t>
      </w:r>
      <w:hyperlink r:id="rId33" w:anchor="/document/16/37378/iva11/" w:history="1">
        <w:r>
          <w:rPr>
            <w:rStyle w:val="a4"/>
          </w:rPr>
          <w:t>страхо</w:t>
        </w:r>
        <w:r>
          <w:rPr>
            <w:rStyle w:val="a4"/>
          </w:rPr>
          <w:t>вочные</w:t>
        </w:r>
      </w:hyperlink>
      <w:r>
        <w:t xml:space="preserve"> и </w:t>
      </w:r>
      <w:hyperlink r:id="rId34" w:anchor="/document/16/37378/iva12/" w:history="1">
        <w:r>
          <w:rPr>
            <w:rStyle w:val="a4"/>
          </w:rPr>
          <w:t>удерживающие</w:t>
        </w:r>
      </w:hyperlink>
      <w:r>
        <w:t xml:space="preserve"> привязи, маркировку могут наносить только на упаковку</w:t>
      </w:r>
      <w:r>
        <w:t>.</w:t>
      </w:r>
    </w:p>
    <w:p w:rsidR="00000000" w:rsidRDefault="005356CE">
      <w:pPr>
        <w:pStyle w:val="a3"/>
        <w:divId w:val="522787832"/>
      </w:pPr>
      <w:r>
        <w:t>В маркировке указывают информацию о наименовании изделия, сроке годности, способах ухода и т. п. Всю информацию,</w:t>
      </w:r>
      <w:r>
        <w:t xml:space="preserve"> которую указывают в маркировке, см. в</w:t>
      </w:r>
      <w:r>
        <w:t xml:space="preserve"> </w:t>
      </w:r>
      <w:hyperlink r:id="rId35" w:anchor="/document/99/902320567/XA00MA42N8/" w:history="1">
        <w:r>
          <w:rPr>
            <w:rStyle w:val="a4"/>
          </w:rPr>
          <w:t>пунктах 4.10–4.12</w:t>
        </w:r>
      </w:hyperlink>
      <w:r>
        <w:t xml:space="preserve"> Технического регламента № 019/2011</w:t>
      </w:r>
      <w:r>
        <w:t>.</w:t>
      </w:r>
    </w:p>
    <w:p w:rsidR="00000000" w:rsidRDefault="005356CE">
      <w:pPr>
        <w:divId w:val="1853495297"/>
        <w:rPr>
          <w:rFonts w:eastAsia="Times New Roman"/>
        </w:rPr>
      </w:pPr>
      <w:r>
        <w:rPr>
          <w:rStyle w:val="incut-head-control"/>
          <w:rFonts w:eastAsia="Times New Roman"/>
        </w:rPr>
        <w:lastRenderedPageBreak/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при работе с инвентарных лесов и подмостей высотой до 5 метров испол</w:t>
      </w:r>
      <w:r>
        <w:rPr>
          <w:rStyle w:val="incut-head-sub"/>
          <w:rFonts w:eastAsia="Times New Roman"/>
        </w:rPr>
        <w:t>ьзовать страховочный пояс только с наплечными лямками, но без набедренных</w:t>
      </w:r>
    </w:p>
    <w:p w:rsidR="00000000" w:rsidRDefault="005356CE">
      <w:pPr>
        <w:pStyle w:val="a3"/>
        <w:divId w:val="1790276381"/>
      </w:pPr>
      <w:r>
        <w:t>Да, можно</w:t>
      </w:r>
      <w:r>
        <w:t>.</w:t>
      </w:r>
    </w:p>
    <w:p w:rsidR="00000000" w:rsidRDefault="005356CE">
      <w:pPr>
        <w:pStyle w:val="a3"/>
        <w:divId w:val="1790276381"/>
      </w:pPr>
      <w:r>
        <w:t xml:space="preserve">При работе на подмостях и лесах высотой до 5 м страховочный пояс используют как компонент удерживающей системы. В удерживающей системе </w:t>
      </w:r>
      <w:hyperlink r:id="rId36" w:anchor="/document/16/37378/iva13/" w:history="1">
        <w:r>
          <w:rPr>
            <w:rStyle w:val="a4"/>
          </w:rPr>
          <w:t>можно использовать</w:t>
        </w:r>
      </w:hyperlink>
      <w:r>
        <w:t xml:space="preserve"> как </w:t>
      </w:r>
      <w:hyperlink r:id="rId37" w:anchor="/document/16/37378/iva11/" w:history="1">
        <w:r>
          <w:rPr>
            <w:rStyle w:val="a4"/>
          </w:rPr>
          <w:t>лямочные</w:t>
        </w:r>
      </w:hyperlink>
      <w:r>
        <w:t xml:space="preserve">, так и </w:t>
      </w:r>
      <w:hyperlink r:id="rId38" w:anchor="/document/16/37378/iva12/" w:history="1">
        <w:r>
          <w:rPr>
            <w:rStyle w:val="a4"/>
          </w:rPr>
          <w:t>безлямочные пояса</w:t>
        </w:r>
      </w:hyperlink>
      <w:r>
        <w:t>. Поэтому если использовать пояс только с наплечными лямками, без набедренных, то это не будет нарушением</w:t>
      </w:r>
      <w:r>
        <w:t>.</w:t>
      </w:r>
    </w:p>
    <w:p w:rsidR="005356CE" w:rsidRDefault="005356CE">
      <w:pPr>
        <w:divId w:val="89189138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53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67718"/>
    <w:multiLevelType w:val="multilevel"/>
    <w:tmpl w:val="29AA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13C53"/>
    <w:multiLevelType w:val="multilevel"/>
    <w:tmpl w:val="D38C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17D5E"/>
    <w:rsid w:val="00417D5E"/>
    <w:rsid w:val="0053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2042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83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1072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9138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2018-07-03T04:01:00Z</dcterms:created>
  <dcterms:modified xsi:type="dcterms:W3CDTF">2018-07-03T04:01:00Z</dcterms:modified>
</cp:coreProperties>
</file>